
<file path=[Content_Types].xml><?xml version="1.0" encoding="utf-8"?>
<Types xmlns="http://schemas.openxmlformats.org/package/2006/content-types">
  <Default ContentType="application/vnd.openxmlformats-officedocument.oleObject" Extension="bin"/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g" Extension="jpg"/>
  <Default ContentType="image/bmp" Extension="bmp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Title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>
      <w:pPr>
        <w:pStyle w:val="Title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 xml:space="preserve">Lekeapparat (26)</w:t>
      </w:r>
    </w:p>
    <w:p>
      <w:pPr>
        <w:jc w:val="center"/>
        <w:rPr>
          <w:lang w:eastAsia="nb-NO"/>
        </w:rPr>
      </w:pPr>
    </w:p>
    <w:p>
      <w:pPr>
        <w:keepNext/>
        <w:jc w:val="center"/>
      </w:pPr>
      <w:r>
        <w:rPr>
          <w:noProof/>
          <w:lang w:eastAsia="nb-NO"/>
        </w:rPr>
        <w:drawing>
          <wp:inline distB="0" distL="0" distR="0" distT="0">
            <wp:extent cx="4008475" cy="2671011"/>
            <wp:effectExtent b="0" l="0" r="0" t="0"/>
            <wp:docPr descr="http://tfprod1.sintef.no:8080/datakatalog/prokatfigurer/25_eksps_leskur5.jpg"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tfprod1.sintef.no:8080/datakatalog/prokatfigurer/25_eksps_leskur5.jpg" id="0" name="Picture 12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42" cy="267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ab/>
        <w:t>Leskur (Foto: Tore Paulsen)</w:t>
      </w:r>
    </w:p>
    <w:p>
      <w:pPr>
        <w:rPr>
          <w:lang w:eastAsia="nb-NO"/>
        </w:rPr>
      </w:pPr>
    </w:p>
    <w:sdt>
      <w:sdtPr>
        <w:rPr>
          <w:rFonts w:asciiTheme="minorHAnsi" w:cstheme="minorBidi" w:eastAsiaTheme="minorHAnsi" w:hAnsiTheme="minorHAns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>
          <w:pPr>
            <w:pStyle w:val="TOCHeading"/>
          </w:pPr>
          <w:r>
            <w:t>Innhold</w:t>
          </w:r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5932197" w:history="1">
            <w:r>
              <w:rPr>
                <w:rStyle w:val="Hyperlink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198" w:history="1">
            <w:r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Om Vegobjekttype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199" w:history="1">
            <w:r>
              <w:rPr>
                <w:rStyle w:val="Hyperlink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0" w:history="1">
            <w:r>
              <w:rPr>
                <w:rStyle w:val="Hyperlink"/>
                <w:noProof/>
                <w:lang w:eastAsia="nb-NO"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  <w:lang w:eastAsia="nb-NO"/>
              </w:rPr>
              <w:t>Relasjoner (assosiasjoner)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1" w:history="1">
            <w:r>
              <w:rPr>
                <w:rStyle w:val="Hyperlink"/>
                <w:rFonts w:eastAsia="Times New Roman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pos="88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2" w:history="1">
            <w:r>
              <w:rPr>
                <w:rStyle w:val="Hyperlink"/>
                <w:rFonts w:eastAsia="Times New Roman"/>
                <w:noProof/>
                <w:lang w:eastAsia="nb-NO"/>
              </w:rPr>
              <w:t>5.1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rFonts w:eastAsia="Times New Roman"/>
                <w:noProof/>
                <w:lang w:eastAsia="nb-NO"/>
              </w:rPr>
              <w:t>Standard 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pos="88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3" w:history="1">
            <w:r>
              <w:rPr>
                <w:rStyle w:val="Hyperlink"/>
                <w:rFonts w:eastAsia="Times New Roman"/>
                <w:noProof/>
                <w:lang w:eastAsia="nb-NO"/>
              </w:rPr>
              <w:t>5.2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rFonts w:eastAsia="Times New Roman"/>
                <w:noProof/>
                <w:lang w:eastAsia="nb-NO"/>
              </w:rPr>
              <w:t>Geometriegenskapstyper (egengeometri)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4" w:history="1">
            <w:r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Innsamlingsregler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pos="88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5" w:history="1">
            <w:r>
              <w:rPr>
                <w:rStyle w:val="Hyperlink"/>
                <w:noProof/>
              </w:rPr>
              <w:t>6.1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Innsamlingsregler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pos="88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6" w:history="1">
            <w:r>
              <w:rPr>
                <w:rStyle w:val="Hyperlink"/>
                <w:noProof/>
              </w:rPr>
              <w:t>6.2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7" w:history="1">
            <w:r>
              <w:rPr>
                <w:rStyle w:val="Hyperlink"/>
                <w:noProof/>
                <w:lang w:eastAsia="nb-NO"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  <w:lang w:eastAsia="nb-NO"/>
              </w:rPr>
              <w:t>Kvalitetskrav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8" w:history="1">
            <w:r>
              <w:rPr>
                <w:rStyle w:val="Hyperlink"/>
                <w:noProof/>
              </w:rPr>
              <w:t>9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UML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>
      <w:pPr>
        <w:pStyle w:val="Heading1"/>
        <w:rPr>
          <w:lang w:eastAsia="nb-NO"/>
        </w:rPr>
      </w:pPr>
      <w:bookmarkStart w:id="0" w:name="_Toc25932197"/>
      <w:r>
        <w:rPr>
          <w:lang w:eastAsia="nb-NO"/>
        </w:rPr>
        <w:lastRenderedPageBreak/>
        <w:t>Innledning</w:t>
      </w:r>
      <w:bookmarkEnd w:id="0"/>
    </w:p>
    <w:p>
      <w:pPr>
        <w:rPr>
          <w:lang w:eastAsia="nb-NO"/>
        </w:rPr>
      </w:pPr>
      <w:r>
        <w:rPr>
          <w:lang w:eastAsia="nb-NO"/>
        </w:rPr>
        <w:t xml:space="preserve">Produktspesifikasjon er oppdatert i henhold til Datakatalogversjon 2.23</w:t>
      </w:r>
    </w:p>
    <w:p>
      <w:pPr>
        <w:rPr>
          <w:lang w:eastAsia="nb-NO"/>
        </w:rPr>
      </w:pPr>
      <w:r>
        <w:rPr>
          <w:lang w:eastAsia="nb-NO"/>
        </w:rPr>
        <w:t xml:space="preserve">Sist oppdater dato: 2021.01.29</w:t>
      </w:r>
    </w:p>
    <w:p>
      <w:pPr>
        <w:pStyle w:val="Heading1"/>
      </w:pPr>
      <w:bookmarkStart w:id="1" w:name="_Toc25932198"/>
      <w:r>
        <w:t>Om Vegobjekttype</w:t>
      </w:r>
      <w:bookmarkEnd w:id="1"/>
      <w:r>
        <w:t xml:space="preserve"> </w:t>
      </w:r>
    </w:p>
    <w:p>
      <w:r>
        <w:t xml:space="preserve">Nedenfor er listet opp Informasjon om vegobjekttypen hentet fra Datakatalogen </w:t>
      </w:r>
    </w:p>
    <w:tbl>
      <w:tblPr>
        <w:tblStyle w:val="TableGridLight"/>
        <w:tblW w:type="pct" w:w="5000"/>
        <w:tblLook w:firstColumn="1" w:firstRow="1" w:lastColumn="0" w:lastRow="0" w:noHBand="0" w:noVBand="1" w:val="04A0"/>
      </w:tblPr>
      <w:tblGrid>
        <w:gridCol w:w="3649"/>
        <w:gridCol w:w="6087"/>
      </w:tblGrid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Lekeapparat</w:t>
            </w:r>
          </w:p>
        </w:tc>
      </w:tr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Utstyr satt opp på f.eks. rasteplasser brukt til lek mm</w:t>
            </w:r>
          </w:p>
        </w:tc>
      </w:tr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punkt</w:t>
            </w:r>
          </w:p>
        </w:tc>
      </w:tr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Sideposisjon: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Kan</w:t>
            </w:r>
          </w:p>
        </w:tc>
      </w:tr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Kjørefelt: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Nei</w:t>
            </w:r>
          </w:p>
        </w:tc>
      </w:tr>
      <w:tr>
        <w:tc>
          <w:tcPr>
            <w:tcW w:type="pct" w:w="1874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Må ha mor</w:t>
            </w:r>
          </w:p>
        </w:tc>
        <w:tc>
          <w:tcPr>
            <w:tcW w:type="pct" w:w="3126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Nei</w:t>
            </w:r>
          </w:p>
        </w:tc>
      </w:tr>
    </w:tbl>
    <w:p>
      <w:pPr>
        <w:rPr>
          <w:lang w:eastAsia="nb-NO"/>
        </w:rPr>
      </w:pPr>
    </w:p>
    <w:p>
      <w:pPr>
        <w:pStyle w:val="Heading1"/>
        <w:rPr>
          <w:lang w:eastAsia="nb-NO"/>
        </w:rPr>
      </w:pPr>
      <w:bookmarkStart w:id="2" w:name="_Toc25932199"/>
      <w:r>
        <w:rPr>
          <w:lang w:eastAsia="nb-NO"/>
        </w:rPr>
        <w:t>Bruksområder</w:t>
      </w:r>
      <w:bookmarkEnd w:id="2"/>
      <w:r>
        <w:rPr>
          <w:lang w:eastAsia="nb-NO"/>
        </w:rPr>
        <w:t xml:space="preserve"> </w:t>
      </w:r>
    </w:p>
    <w:p>
      <w:pPr>
        <w:spacing w:after="240"/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t>Her er gitt en oversikt over kjente bruksområder for dataene. For hvert bruksområde er det listet opp hvilke konkrete data det er behov for, eventuelt også beskrevet med eksempel.</w:t>
      </w:r>
    </w:p>
    <w:tbl>
      <w:tblPr>
        <w:tblStyle w:val="TableGridLight"/>
        <w:tblW w:type="pct" w:w="5000"/>
        <w:tblLook w:firstColumn="1" w:firstRow="1" w:lastColumn="0" w:lastRow="0" w:noHBand="0" w:noVBand="1" w:val="04A0"/>
      </w:tblPr>
      <w:tblGrid>
        <w:gridCol w:w="3698"/>
        <w:gridCol w:w="3912"/>
        <w:gridCol w:w="2126"/>
      </w:tblGrid>
      <w:tr>
        <w:trPr>
          <w:trHeight w:val="600"/>
        </w:trPr>
        <w:tc>
          <w:tcPr>
            <w:tcW w:type="pct" w:w="189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type="pct" w:w="200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eastAsia="nb-NO"/>
              </w:rPr>
              <w:t>Behov</w:t>
            </w:r>
          </w:p>
        </w:tc>
        <w:tc>
          <w:tcPr>
            <w:tcW w:type="pct" w:w="1092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eastAsia="nb-NO"/>
              </w:rPr>
              <w:t>Eksempel</w:t>
            </w:r>
          </w:p>
        </w:tc>
      </w:tr>
      <w:tr>
        <w:tc>
          <w:tcPr>
            <w:tcW w:type="pct" w:w="189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Transportplanlegging/Navigasjon og ruteplanlegging</w:t>
            </w:r>
          </w:p>
        </w:tc>
        <w:tc>
          <w:tcPr>
            <w:tcW w:type="pct" w:w="200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Fasiliteter på holdeplass</w:t>
            </w:r>
          </w:p>
        </w:tc>
        <w:tc>
          <w:tcPr>
            <w:tcW w:type="pct" w:w="1092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</w:p>
        </w:tc>
      </w:tr>
      <w:tr>
        <w:tc>
          <w:tcPr>
            <w:tcW w:type="pct" w:w="189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Driftskontrakter</w:t>
            </w:r>
          </w:p>
        </w:tc>
        <w:tc>
          <w:tcPr>
            <w:tcW w:type="pct" w:w="200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Materialtype innvendig belysning, sittemulighet, reklameavtale</w:t>
            </w:r>
          </w:p>
        </w:tc>
        <w:tc>
          <w:tcPr>
            <w:tcW w:type="pct" w:w="1092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</w:p>
        </w:tc>
      </w:tr>
      <w:tr>
        <w:tc>
          <w:tcPr>
            <w:tcW w:type="pct" w:w="189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Universell utforming</w:t>
            </w:r>
          </w:p>
        </w:tc>
        <w:tc>
          <w:tcPr>
            <w:tcW w:type="pct" w:w="200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areal tilpasser rullestol, glassflater markert, innvendig belysning, sittemulighet, trinnfri adkomst</w:t>
            </w:r>
          </w:p>
        </w:tc>
        <w:tc>
          <w:tcPr>
            <w:tcW w:type="pct" w:w="1092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</w:p>
        </w:tc>
      </w:tr>
    </w:tbl>
    <w:p/>
    <w:p>
      <w:pPr>
        <w:rPr>
          <w:lang w:eastAsia="nb-NO"/>
        </w:rPr>
      </w:pPr>
    </w:p>
    <w:p>
      <w:pPr>
        <w:rPr>
          <w:lang w:eastAsia="nb-NO"/>
        </w:rPr>
      </w:pPr>
    </w:p>
    <w:p>
      <w:pPr>
        <w:pStyle w:val="Heading1"/>
        <w:rPr>
          <w:lang w:eastAsia="nb-NO"/>
        </w:rPr>
      </w:pPr>
      <w:bookmarkStart w:id="3" w:name="_Toc25932200"/>
      <w:r>
        <w:rPr>
          <w:lang w:eastAsia="nb-NO"/>
        </w:rPr>
        <w:t>Relasjoner (assosiasjoner)</w:t>
      </w:r>
      <w:bookmarkEnd w:id="3"/>
    </w:p>
    <w:p>
      <w:pPr>
        <w:rPr>
          <w:b/>
        </w:rPr>
      </w:pPr>
      <w:r>
        <w:t>Nedenfor er det listet opp relasjoner som kan settes opp mellom $NAVN$ og andre vegobjekttyper.</w:t>
      </w:r>
    </w:p>
    <w:p>
      <w:pPr>
        <w:rPr>
          <w:b/>
        </w:rPr>
      </w:pPr>
      <w:r>
        <w:rPr>
          <w:b/>
        </w:rPr>
        <w:t>Mulige morobjekter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184"/>
        <w:gridCol w:w="1405"/>
        <w:gridCol w:w="1520"/>
        <w:gridCol w:w="1640"/>
        <w:gridCol w:w="797"/>
        <w:gridCol w:w="1017"/>
        <w:gridCol w:w="1098"/>
        <w:gridCol w:w="1075"/>
      </w:tblGrid>
      <w:tr>
        <w:tc>
          <w:tcPr>
            <w:tcW w:type="dxa" w:w="2900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Mor-objekt</w:t>
            </w:r>
          </w:p>
        </w:tc>
        <w:tc>
          <w:tcPr>
            <w:tcW w:type="dxa" w:w="2057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type="dxa" w:w="2409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type="dxa" w:w="1846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>
        <w:tc>
          <w:tcPr>
            <w:tcW w:type="dxa" w:w="608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229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60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450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469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940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1134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type="dxa" w:w="71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>
        <w:tc>
          <w:tcPr>
            <w:tcW w:type="dxa" w:w="608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lastRenderedPageBreak/>
              <w:t xml:space="preserve">39</w:t>
            </w:r>
          </w:p>
        </w:tc>
        <w:tc>
          <w:tcPr>
            <w:tcW w:type="dxa" w:w="2292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Rasteplass</w:t>
            </w:r>
          </w:p>
        </w:tc>
        <w:tc>
          <w:tcPr>
            <w:tcW w:type="dxa" w:w="60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450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469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26</w:t>
            </w:r>
          </w:p>
        </w:tc>
        <w:tc>
          <w:tcPr>
            <w:tcW w:type="dxa" w:w="1940"/>
            <w:shd w:color="auto" w:fill="F2F2F2" w:themeFill="background1" w:themeFillShade="F2" w:val="clear"/>
          </w:tcPr>
          <w:p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 xml:space="preserve">Lekeapparat</w:t>
            </w:r>
          </w:p>
        </w:tc>
        <w:tc>
          <w:tcPr>
            <w:tcW w:type="dxa" w:w="1134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Ja, men sidepos/feltkode/høydepos kan avvike</w:t>
            </w:r>
          </w:p>
        </w:tc>
        <w:tc>
          <w:tcPr>
            <w:tcW w:type="dxa" w:w="712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129</w:t>
            </w:r>
          </w:p>
        </w:tc>
      </w:tr>
      <w:tr>
        <w:tc>
          <w:tcPr>
            <w:tcW w:type="dxa" w:w="608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lastRenderedPageBreak/>
              <w:t xml:space="preserve">64</w:t>
            </w:r>
          </w:p>
        </w:tc>
        <w:tc>
          <w:tcPr>
            <w:tcW w:type="dxa" w:w="2292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Ferjeleie</w:t>
            </w:r>
          </w:p>
        </w:tc>
        <w:tc>
          <w:tcPr>
            <w:tcW w:type="dxa" w:w="60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450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469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26</w:t>
            </w:r>
          </w:p>
        </w:tc>
        <w:tc>
          <w:tcPr>
            <w:tcW w:type="dxa" w:w="1940"/>
            <w:shd w:color="auto" w:fill="F2F2F2" w:themeFill="background1" w:themeFillShade="F2" w:val="clear"/>
          </w:tcPr>
          <w:p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 xml:space="preserve">Lekeapparat</w:t>
            </w:r>
          </w:p>
        </w:tc>
        <w:tc>
          <w:tcPr>
            <w:tcW w:type="dxa" w:w="1134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Nei</w:t>
            </w:r>
          </w:p>
        </w:tc>
        <w:tc>
          <w:tcPr>
            <w:tcW w:type="dxa" w:w="712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1954</w:t>
            </w:r>
          </w:p>
        </w:tc>
      </w:tr>
      <w:tr>
        <w:tc>
          <w:tcPr>
            <w:tcW w:type="dxa" w:w="608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2292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607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1450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469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1940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1134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712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</w:tr>
    </w:tbl>
    <w:p>
      <w:pPr>
        <w:pStyle w:val="Caption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>
      <w:pPr>
        <w:rPr>
          <w:b/>
          <w:lang w:eastAsia="nb-NO"/>
        </w:rPr>
      </w:pPr>
    </w:p>
    <w:p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817"/>
        <w:gridCol w:w="1046"/>
        <w:gridCol w:w="1166"/>
        <w:gridCol w:w="1393"/>
        <w:gridCol w:w="1374"/>
        <w:gridCol w:w="1601"/>
        <w:gridCol w:w="1233"/>
        <w:gridCol w:w="1106"/>
      </w:tblGrid>
      <w:tr>
        <w:tc>
          <w:tcPr>
            <w:tcW w:type="dxa" w:w="2404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Mor-objekt</w:t>
            </w:r>
          </w:p>
        </w:tc>
        <w:tc>
          <w:tcPr>
            <w:tcW w:type="dxa" w:w="2142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type="dxa" w:w="3532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type="dxa" w:w="1658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>
        <w:tc>
          <w:tcPr>
            <w:tcW w:type="dxa" w:w="67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72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92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215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1234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2298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858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type="dxa" w:w="800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26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Lekeapparat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297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Kommentar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Ja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316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26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Lekeapparat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761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Tilstand/skade, punkt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Ja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1106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26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Lekeapparat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762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Tilstand/skade FU, punkt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Ja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1119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26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Lekeapparat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446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Dokumentasjon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Ja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1405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26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Lekeapparat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794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Systemobjekt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Nei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1914</w:t>
            </w:r>
          </w:p>
        </w:tc>
      </w:tr>
    </w:tbl>
    <w:p>
      <w:pPr>
        <w:pStyle w:val="Caption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vegobjekttype </w:t>
      </w:r>
    </w:p>
    <w:p>
      <w:pPr>
        <w:pStyle w:val="Heading1"/>
        <w:rPr>
          <w:rFonts w:eastAsia="Times New Roman"/>
          <w:lang w:eastAsia="nb-NO"/>
        </w:rPr>
      </w:pPr>
      <w:r>
        <w:rPr>
          <w:rFonts w:eastAsia="Times New Roman"/>
          <w:color w:val="3D4F59"/>
          <w:sz w:val="26"/>
          <w:szCs w:val="26"/>
          <w:lang w:eastAsia="nb-NO"/>
        </w:rPr>
        <w:br w:type="page"/>
      </w:r>
      <w:bookmarkStart w:id="4" w:name="_Toc25932201"/>
      <w:r>
        <w:rPr>
          <w:rFonts w:eastAsia="Times New Roman"/>
          <w:lang w:eastAsia="nb-NO"/>
        </w:rPr>
        <w:lastRenderedPageBreak/>
        <w:t>Egenskapstyper</w:t>
      </w:r>
      <w:bookmarkEnd w:id="4"/>
    </w:p>
    <w:p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vegobjekttype. Vi skiller på standard egenskapstyper og geometriegenskapstyper. </w:t>
      </w:r>
    </w:p>
    <w:p>
      <w:pPr>
        <w:rPr>
          <w:lang w:eastAsia="nb-NO"/>
        </w:rPr>
      </w:pPr>
    </w:p>
    <w:p>
      <w:pPr>
        <w:pStyle w:val="Heading2"/>
        <w:rPr>
          <w:rFonts w:eastAsia="Times New Roman"/>
          <w:lang w:eastAsia="nb-NO"/>
        </w:rPr>
      </w:pPr>
      <w:bookmarkStart w:id="5" w:name="_Toc25932202"/>
      <w:r>
        <w:rPr>
          <w:rFonts w:eastAsia="Times New Roman"/>
          <w:lang w:eastAsia="nb-NO"/>
        </w:rPr>
        <w:t>Standard egenskapstyper</w:t>
      </w:r>
      <w:bookmarkEnd w:id="5"/>
    </w:p>
    <w:p>
      <w:pPr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t xml:space="preserve">Med standard egenskapstyper menes alle egenskapstyper bortsett fra geometriegenskapstypene.  Tabellen på neste side gir oversikt over alle egenskapstyper. Kolonneoverskrifter er forklart i en egen oversikt nedenfor. </w:t>
      </w:r>
    </w:p>
    <w:p>
      <w:pPr>
        <w:pStyle w:val="Caption"/>
        <w:keepNext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ab/>
        <w:t>Oversikt over egenskapstyper med tilhørende tillatte verdier</w:t>
      </w:r>
    </w:p>
    <w:tbl>
      <w:tblPr>
        <w:tblW w:type="pct" w:w="5000"/>
        <w:tblCellSpacing w:type="dxa" w:w="0"/>
        <w:tblBorders>
          <w:top w:color="D3D3D3" w:space="0" w:sz="6" w:val="single"/>
          <w:left w:color="D3D3D3" w:space="0" w:sz="6" w:val="single"/>
          <w:bottom w:color="D3D3D3" w:space="0" w:sz="6" w:val="single"/>
          <w:right w:color="D3D3D3" w:space="0" w:sz="6" w:val="single"/>
        </w:tblBorders>
        <w:shd w:color="auto" w:fill="FFFFFF" w:val="clear"/>
        <w:tblCellMar>
          <w:top w:type="dxa" w:w="60"/>
          <w:left w:type="dxa" w:w="60"/>
          <w:bottom w:type="dxa" w:w="60"/>
          <w:right w:type="dxa" w:w="60"/>
        </w:tblCellMar>
        <w:tblLook w:firstColumn="1" w:firstRow="1" w:lastColumn="0" w:lastRow="0" w:noHBand="0" w:noVBand="1" w:val="04A0"/>
      </w:tblPr>
      <w:tblGrid>
        <w:gridCol w:w="2310"/>
        <w:gridCol w:w="1341"/>
        <w:gridCol w:w="1370"/>
        <w:gridCol w:w="3839"/>
        <w:gridCol w:w="870"/>
      </w:tblGrid>
      <w:tr>
        <w:trPr>
          <w:trHeight w:val="600"/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>
            <w:pPr>
              <w:spacing w:after="100" w:afterAutospacing="1" w:before="100" w:beforeAutospacing="1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>Tillatte verdier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eastAsia="nb-NO"/>
              </w:rPr>
              <w:t>Betingelse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Type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hvilken type vegobjektet er av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1107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Huske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2507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Sandkasse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2508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Vippe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2509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Lekehus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2510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Rutsjebane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2511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Minigolf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2512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Klatrestativ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9821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Vedlikeholdsavtale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arkivnummer for henvisning til eventuell vedlikeholdsavtale for vegobjektet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1560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Sikkerhetskrav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hvilke krav til sikkerhet som gjelder.  Det henvises til lover/forskrifter og paragrafer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1741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Antall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Tall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Vegobjektet kan representere flere objekt av samme type.  Vi angir her hvor mange objekt dette objektet representerer.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2193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Fastmontert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om lekeapparatet er fastmontert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9452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13317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13318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Materialtype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primær materialtype for vegobjektet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9453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Betong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13319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Glassfiber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Metall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Plast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Tre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13323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Overflatebehandling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hvordan vegobjektet er overflatebehandlet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9454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Malt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Beiset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Impregnert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13326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Oljet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Lakkert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Emaljert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13329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Ingen overflatebehandling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19081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Underlag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hvilket underlag der er i tilknytning til lekeapparatet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1740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Sand/gress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2087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Asfalt/stein/betong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3818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Tre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4016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Gummimatte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13330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Vinterlagring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om lekeapparatet blir vinterlagret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9455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13331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13332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Etableringsår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Tall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hvilket år vegobjektet ble etablert på stedet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10321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Produsent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navn på produsent/fabrikant av vegobjektet.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1516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Produktnavn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produktnavn for vegobjektet. Produktnavn kan inneholde modellnavn, typebetegnelse, typenummer og evt. serienummer.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1439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Leverandør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navn på firma som har levert vegobjektet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1476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Tilleggsinformasjon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Supplerende informasjon om vegobjektet som ikke framkommer direkte av andre egenskapstyper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11555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Prosjektreferanse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Referanse til prosjekt. Det benyttes samme prosjektreferanse som på tilhørende Veganlegg (VT30). Benyttes for å lettere kunne skille nye data fra eksisterende data i NVDB.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11043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Eier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hvem som er eier av vegobjektet.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5817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Stat, Statens vegvesen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8212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Kommune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8238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8264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Fylkeskommune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10704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Uavklart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Verdi benyttes inntil det er avklart hvem som er eier (ingen verdi tolkes som at vegeier er eier).</w:t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17601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Stat, Nye Veier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18594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Vedlikeholdsansvarlig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hvem som er ansvarlig for vedlikehold av vegobjektet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8051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Statens vegvesen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10445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Kommune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10523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10601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Uavklart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17704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Nye Veier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18681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OPS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18810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Fylkeskommune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19921</w:t>
            </w:r>
          </w:p>
        </w:tc>
      </w:tr>
    </w:tbl>
    <w:p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</w:p>
    <w:p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</w:p>
    <w:p>
      <w:pPr>
        <w:pStyle w:val="Heading2"/>
        <w:rPr>
          <w:rFonts w:eastAsia="Times New Roman"/>
          <w:lang w:eastAsia="nb-NO"/>
        </w:rPr>
      </w:pPr>
      <w:bookmarkStart w:id="6" w:name="_Toc25932203"/>
      <w:r>
        <w:rPr>
          <w:rFonts w:eastAsia="Times New Roman"/>
          <w:lang w:eastAsia="nb-NO"/>
        </w:rPr>
        <w:t>Geometriegenskapstyper (egengeometri)</w:t>
      </w:r>
      <w:bookmarkEnd w:id="6"/>
    </w:p>
    <w:p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nb-NO"/>
        </w:rPr>
        <w:t xml:space="preserve">Geometriegenskapstyper er definert for å holde på egengeometrien til et vegobjekt. Vi skiller på punkt-, linje/kurve- og flategeometri. </w:t>
      </w:r>
    </w:p>
    <w:p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</w:p>
    <w:p>
      <w:pPr>
        <w:pStyle w:val="Caption"/>
        <w:keepNext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ab/>
        <w:t>Geometriegenskapstyper</w:t>
      </w:r>
    </w:p>
    <w:tbl>
      <w:tblPr>
        <w:tblStyle w:val="TableGrid"/>
        <w:tblW w:type="pct" w:w="5000"/>
        <w:tblLook w:firstColumn="1" w:firstRow="1" w:lastColumn="0" w:lastRow="0" w:noHBand="0" w:noVBand="1" w:val="04A0"/>
      </w:tblPr>
      <w:tblGrid>
        <w:gridCol w:w="1732"/>
        <w:gridCol w:w="2668"/>
        <w:gridCol w:w="2668"/>
        <w:gridCol w:w="2668"/>
      </w:tblGrid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Navn</w:t>
            </w:r>
          </w:p>
        </w:tc>
        <w:tc>
          <w:tcPr>
            <w:tcW w:type="pct" w:w="134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Geometri, punkt</w:t>
            </w:r>
          </w:p>
        </w:tc>
        <w:tc>
          <w:tcPr>
            <w:tcW w:type="pct" w:w="134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4734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GeomPunkt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Krav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?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 krav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?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Gir punkt som geometrisk representerer objektet.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Omtrentlig senter objekt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Terrenghøyde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Krav om Href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Nei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100 cm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</w:tr>
    </w:tbl>
    <w:p>
      <w:pPr>
        <w:rPr>
          <w:lang w:eastAsia="nb-NO"/>
        </w:rPr>
      </w:pPr>
    </w:p>
    <w:p/>
    <w:p>
      <w:pPr>
        <w:pStyle w:val="Heading1"/>
      </w:pPr>
      <w:bookmarkStart w:id="7" w:name="_Toc25932204"/>
      <w:r>
        <w:t>Innsamlingsregler med eksempler</w:t>
      </w:r>
      <w:bookmarkEnd w:id="7"/>
    </w:p>
    <w:p>
      <w:pPr>
        <w:pStyle w:val="Heading2"/>
      </w:pPr>
      <w:bookmarkStart w:id="8" w:name="_Toc25932205"/>
      <w:r>
        <w:t>Innsamlingsregler</w:t>
      </w:r>
      <w:bookmarkEnd w:id="8"/>
    </w:p>
    <w:p>
      <w:r>
        <w:t>Nedenfor presenteres innsamlingsregler for gjeldende vegobjekttype. Noen av innsamlingsreglene viser til eksempler.</w:t>
      </w:r>
    </w:p>
    <w:p>
      <w:pPr>
        <w:pStyle w:val="ListParagraph"/>
        <w:numPr>
          <w:ilvl w:val="0"/>
          <w:numId w:val="2"/>
        </w:numPr>
      </w:pPr>
      <w:r>
        <w:t xml:space="preserve">GENERELT. </w:t>
      </w:r>
    </w:p>
    <w:p>
      <w:pPr>
        <w:pStyle w:val="ListParagraph"/>
        <w:numPr>
          <w:ilvl w:val="1"/>
          <w:numId w:val="2"/>
        </w:numPr>
      </w:pPr>
      <w:r>
        <w:t xml:space="preserve">En forekomst av vegobjekttype «Leskur» i NVDB gjenspeiler et konkret leskur ute på vegen. Eksempel 1A1-1A3 viser ulike varianter av leskur og hvordan disse skal registreres. </w:t>
      </w:r>
    </w:p>
    <w:p>
      <w:pPr>
        <w:pStyle w:val="ListParagraph"/>
        <w:numPr>
          <w:ilvl w:val="0"/>
          <w:numId w:val="2"/>
        </w:numPr>
      </w:pPr>
      <w:r>
        <w:t>OMFANG.</w:t>
      </w:r>
    </w:p>
    <w:p>
      <w:pPr>
        <w:pStyle w:val="ListParagraph"/>
        <w:numPr>
          <w:ilvl w:val="1"/>
          <w:numId w:val="2"/>
        </w:numPr>
      </w:pPr>
      <w:r>
        <w:t xml:space="preserve">Alle vegeiers leskur skal registreres. </w:t>
      </w:r>
    </w:p>
    <w:p>
      <w:pPr>
        <w:pStyle w:val="ListParagraph"/>
        <w:numPr>
          <w:ilvl w:val="1"/>
          <w:numId w:val="2"/>
        </w:numPr>
      </w:pPr>
      <w:r>
        <w:t>Leskur som eies av andre, men som vegeier har vedlikeholdsansvar for skal registreres. Eier og vedlikeholdsansvarlig skal angis spesifikt.</w:t>
      </w:r>
    </w:p>
    <w:p>
      <w:pPr>
        <w:pStyle w:val="ListParagraph"/>
        <w:numPr>
          <w:ilvl w:val="1"/>
          <w:numId w:val="2"/>
        </w:numPr>
      </w:pPr>
      <w:r>
        <w:t xml:space="preserve">Leskur som eies av andre og vedlikeholdes av andre, men står i tilknytning til holdeplassutrustninger som vegeier eier skal registreres. Eier og vedlikeholdsansvarlig skal angis spesifikt. </w:t>
      </w:r>
    </w:p>
    <w:p>
      <w:pPr>
        <w:pStyle w:val="ListParagraph"/>
        <w:numPr>
          <w:ilvl w:val="1"/>
          <w:numId w:val="2"/>
        </w:numPr>
      </w:pPr>
      <w:r>
        <w:t>Andre leskur skal registreres om de har betydning for drift/vedlikehold på vegeiers veger eller om det er avtalt spesielt at de skal registreres. Eier og vedlikeholdsansvarlig skal angis spesifikt.</w:t>
      </w:r>
    </w:p>
    <w:p>
      <w:pPr>
        <w:pStyle w:val="ListParagraph"/>
        <w:numPr>
          <w:ilvl w:val="0"/>
          <w:numId w:val="2"/>
        </w:numPr>
      </w:pPr>
      <w:r>
        <w:t xml:space="preserve">FOREKOMSTER - OPPDELING </w:t>
      </w:r>
    </w:p>
    <w:p>
      <w:pPr>
        <w:pStyle w:val="ListParagraph"/>
        <w:numPr>
          <w:ilvl w:val="1"/>
          <w:numId w:val="2"/>
        </w:numPr>
      </w:pPr>
      <w:r>
        <w:t xml:space="preserve">Det registreres en forekomst per fysisk leskur. I tilfeller der det er to leskur på samme holdeplass skal det registreres som to leskur. </w:t>
      </w:r>
    </w:p>
    <w:p>
      <w:pPr>
        <w:pStyle w:val="ListParagraph"/>
        <w:numPr>
          <w:ilvl w:val="0"/>
          <w:numId w:val="2"/>
        </w:numPr>
      </w:pPr>
      <w:r>
        <w:t xml:space="preserve">EGENGEOMETRI </w:t>
      </w:r>
    </w:p>
    <w:p>
      <w:pPr>
        <w:pStyle w:val="ListParagraph"/>
        <w:numPr>
          <w:ilvl w:val="1"/>
          <w:numId w:val="2"/>
        </w:numPr>
      </w:pPr>
      <w:r>
        <w:t xml:space="preserve">Leskur representeres geografisk med egengeometri av type flate eller punkt. Det er tilstrekkelig å representere et leskur med et punkt. Punkt plasseres midt på sida ut mot vegen. Alternativt kan leskuret representeres med ei flate for utvendig grunnriss.  Eksempel 1A-1 – 1A-3 viser hvor geometri skal plasseres. </w:t>
      </w:r>
    </w:p>
    <w:p>
      <w:pPr>
        <w:pStyle w:val="ListParagraph"/>
        <w:numPr>
          <w:ilvl w:val="0"/>
          <w:numId w:val="2"/>
        </w:numPr>
      </w:pPr>
      <w:r>
        <w:t xml:space="preserve">EGENSKAPSDATA </w:t>
      </w:r>
    </w:p>
    <w:p>
      <w:pPr>
        <w:pStyle w:val="ListParagraph"/>
        <w:numPr>
          <w:ilvl w:val="1"/>
          <w:numId w:val="2"/>
        </w:numPr>
      </w:pPr>
      <w:r>
        <w:t>Det framkommer av oversikten i kapittel 4.2 i denne produktspesifikasjonen hvilke egenskapstyper som kan angis for gitt vegobjekttype. Her framkommer det også hvilken informasjon som er absolutt påkrevd, påkrevd, betinget og opsjonell.</w:t>
      </w:r>
    </w:p>
    <w:p>
      <w:pPr>
        <w:pStyle w:val="ListParagraph"/>
        <w:numPr>
          <w:ilvl w:val="0"/>
          <w:numId w:val="2"/>
        </w:numPr>
      </w:pPr>
      <w:r>
        <w:t xml:space="preserve">RELASJONER </w:t>
      </w:r>
    </w:p>
    <w:p>
      <w:pPr>
        <w:pStyle w:val="ListParagraph"/>
        <w:numPr>
          <w:ilvl w:val="1"/>
          <w:numId w:val="2"/>
        </w:numPr>
      </w:pPr>
      <w:r>
        <w:t xml:space="preserve">Leskur skal normalt være relatert til holdeplassutrustning. </w:t>
      </w:r>
    </w:p>
    <w:p>
      <w:pPr>
        <w:pStyle w:val="ListParagraph"/>
        <w:numPr>
          <w:ilvl w:val="0"/>
          <w:numId w:val="2"/>
        </w:numPr>
      </w:pPr>
      <w:r>
        <w:t>TILGRENSENDE VEGOBJEKTTYPER.</w:t>
      </w:r>
    </w:p>
    <w:p>
      <w:pPr>
        <w:pStyle w:val="ListParagraph"/>
        <w:numPr>
          <w:ilvl w:val="1"/>
          <w:numId w:val="2"/>
        </w:numPr>
      </w:pPr>
      <w:r>
        <w:t>Bygning.</w:t>
      </w:r>
    </w:p>
    <w:p>
      <w:pPr>
        <w:pStyle w:val="ListParagraph"/>
        <w:numPr>
          <w:ilvl w:val="1"/>
          <w:numId w:val="2"/>
        </w:numPr>
      </w:pPr>
      <w:r>
        <w:t xml:space="preserve">En del utstyr som gjerne hører sammen med Leskur registreres som egen vegobjekttyper. Dette gjelder f.eks Renovasjon, Sanntidinformasjon, kollektivtrafikk for </w:t>
      </w:r>
    </w:p>
    <w:p>
      <w:pPr>
        <w:pStyle w:val="ListParagraph"/>
        <w:numPr>
          <w:ilvl w:val="0"/>
          <w:numId w:val="2"/>
        </w:numPr>
      </w:pPr>
      <w:r>
        <w:t>KOPLING TL VEGNETT I NVDB – PUNKTDATA (Se også notat «Regelverk for stedfesting»)</w:t>
      </w:r>
    </w:p>
    <w:p>
      <w:pPr>
        <w:pStyle w:val="ListParagraph"/>
        <w:numPr>
          <w:ilvl w:val="1"/>
          <w:numId w:val="2"/>
        </w:numPr>
      </w:pPr>
      <w:r>
        <w:lastRenderedPageBreak/>
        <w:t>Et Leskur skal knyttes til samme veg som holdeplassutrustning det er koplet til. Se PS for Holdeplassutrustning</w:t>
      </w:r>
    </w:p>
    <w:p>
      <w:r>
        <w:br w:type="page"/>
      </w:r>
    </w:p>
    <w:p>
      <w:pPr>
        <w:pStyle w:val="Heading2"/>
      </w:pPr>
      <w:bookmarkStart w:id="9" w:name="_Toc25932206"/>
      <w:r>
        <w:lastRenderedPageBreak/>
        <w:t>Eksempler</w:t>
      </w:r>
      <w:bookmarkEnd w:id="9"/>
      <w:r>
        <w:t xml:space="preserve"> </w:t>
      </w:r>
    </w:p>
    <w:p>
      <w:r>
        <w:rPr>
          <w:noProof/>
        </w:rPr>
        <w:object w:dxaOrig="1440" w:dyaOrig="1440"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s1028" style="position:absolute;margin-left:-.15pt;margin-top:76pt;width:296.55pt;height:196.7pt;z-index:251661310;mso-position-horizontal-relative:text;mso-position-vertical-relative:text;mso-width-relative:page;mso-height-relative:page" type="#_x0000_t75">
            <v:imagedata cropbottom="331f" cropright="2344f" o:title="" r:id="rId9"/>
          </v:shape>
          <o:OLEObject DrawAspect="Content" ObjectID="_1646075459" ProgID="PBrush" ShapeID="_x0000_s1028" Type="Embed" r:id="rId10"/>
        </w:object>
      </w:r>
    </w:p>
    <w:tbl>
      <w:tblPr>
        <w:tblStyle w:val="TableGrid"/>
        <w:tblW w:type="dxa" w:w="9638"/>
        <w:tblInd w:type="dxa" w:w="-5"/>
        <w:tblLook w:firstColumn="1" w:firstRow="1" w:lastColumn="0" w:lastRow="0" w:noHBand="0" w:noVBand="1" w:val="04A0"/>
      </w:tblPr>
      <w:tblGrid>
        <w:gridCol w:w="5953"/>
        <w:gridCol w:w="3685"/>
      </w:tblGrid>
      <w:tr>
        <w:trPr>
          <w:trHeight w:val="645"/>
        </w:trPr>
        <w:tc>
          <w:tcPr>
            <w:tcW w:type="dxa" w:w="9638"/>
            <w:gridSpan w:val="2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1A-1 – Leskur, stål</w:t>
            </w:r>
          </w:p>
          <w:p>
            <w:r>
              <w:t xml:space="preserve">Eksempelet viser et typisk leskur. </w:t>
            </w:r>
          </w:p>
          <w:p>
            <w:pPr>
              <w:rPr>
                <w:rFonts w:cstheme="minorHAnsi"/>
                <w:sz w:val="18"/>
                <w:szCs w:val="18"/>
              </w:rPr>
            </w:pPr>
          </w:p>
        </w:tc>
      </w:tr>
      <w:tr>
        <w:trPr>
          <w:trHeight w:val="3958"/>
        </w:trPr>
        <w:tc>
          <w:tcPr>
            <w:tcW w:type="dxa" w:w="5953"/>
          </w:tcPr>
          <w:p/>
        </w:tc>
        <w:tc>
          <w:tcPr>
            <w:tcW w:type="dxa" w:w="3685"/>
            <w:vMerge w:val="restart"/>
          </w:tcPr>
          <w:p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-Geometri, punkt: </w:t>
            </w:r>
            <w:r>
              <w:rPr>
                <w:rFonts w:cstheme="minorHAnsi"/>
                <w:color w:val="FF0000"/>
                <w:sz w:val="24"/>
                <w:szCs w:val="24"/>
              </w:rPr>
              <w:t>●</w:t>
            </w:r>
            <w:r>
              <w:rPr>
                <w:rFonts w:cstheme="minorHAnsi"/>
                <w:sz w:val="18"/>
                <w:szCs w:val="18"/>
              </w:rPr>
              <w:br/>
              <w:t xml:space="preserve">-Geometri, flate: </w:t>
            </w:r>
            <w:r>
              <w:rPr>
                <w:rFonts w:cstheme="minorHAnsi"/>
                <w:color w:val="FF0000"/>
                <w:sz w:val="18"/>
                <w:szCs w:val="18"/>
              </w:rPr>
              <w:t>▀▀</w:t>
            </w:r>
            <w:r>
              <w:rPr>
                <w:rFonts w:cstheme="minorHAnsi"/>
                <w:color w:val="FF0000"/>
                <w:sz w:val="18"/>
                <w:szCs w:val="18"/>
              </w:rPr>
              <w:br/>
            </w:r>
            <w:r>
              <w:rPr>
                <w:rFonts w:cstheme="minorHAnsi"/>
                <w:sz w:val="18"/>
                <w:szCs w:val="18"/>
              </w:rPr>
              <w:t>EGENSKAPSDATA:</w:t>
            </w:r>
          </w:p>
          <w:p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-Materialtype = Stål</w:t>
            </w:r>
          </w:p>
          <w:p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-Areal tilpasset rullestol = Ja* </w:t>
            </w:r>
          </w:p>
          <w:p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bredde, innvendig = 3 m* </w:t>
            </w:r>
            <w:r>
              <w:rPr>
                <w:rFonts w:cstheme="minorHAnsi"/>
                <w:color w:val="00B0F0"/>
                <w:sz w:val="18"/>
                <w:szCs w:val="18"/>
              </w:rPr>
              <w:t>▀▀</w:t>
            </w:r>
            <w:r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sz w:val="18"/>
                <w:szCs w:val="18"/>
              </w:rPr>
              <w:t xml:space="preserve">-Fri dybde, innvendig = 2 m* </w:t>
            </w:r>
            <w:r>
              <w:rPr>
                <w:rFonts w:cstheme="minorHAnsi"/>
                <w:color w:val="0070C0"/>
                <w:sz w:val="18"/>
                <w:szCs w:val="18"/>
              </w:rPr>
              <w:t>▀▀</w:t>
            </w:r>
          </w:p>
          <w:p>
            <w:pPr>
              <w:rPr>
                <w:rFonts w:cstheme="minorHAnsi"/>
                <w:color w:themeColor="accent4" w:themeShade="BF" w:val="418321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-Lengde utvendig = 3 m* </w:t>
            </w:r>
            <w:r>
              <w:rPr>
                <w:rFonts w:cstheme="minorHAnsi"/>
                <w:color w:themeColor="accent4" w:themeShade="BF" w:val="418321"/>
                <w:sz w:val="18"/>
                <w:szCs w:val="18"/>
              </w:rPr>
              <w:t>▀▀</w:t>
            </w:r>
          </w:p>
          <w:p>
            <w:r>
              <w:rPr>
                <w:rFonts w:cstheme="minorHAnsi"/>
                <w:sz w:val="18"/>
                <w:szCs w:val="18"/>
              </w:rPr>
              <w:t>-Sittemulighet = Ja</w:t>
            </w:r>
            <w:r>
              <w:rPr>
                <w:sz w:val="18"/>
                <w:szCs w:val="18"/>
              </w:rPr>
              <w:br/>
              <w:t>- Trinnfri adkomst = Ja</w:t>
            </w:r>
            <w:r>
              <w:rPr>
                <w:sz w:val="18"/>
                <w:szCs w:val="18"/>
              </w:rPr>
              <w:br/>
              <w:t>*anslag</w:t>
            </w:r>
          </w:p>
        </w:tc>
      </w:tr>
      <w:tr>
        <w:tc>
          <w:tcPr>
            <w:tcW w:type="dxa" w:w="5953"/>
          </w:tcPr>
          <w:p>
            <w:pPr>
              <w:rPr>
                <w:i/>
              </w:rPr>
            </w:pPr>
            <w:r>
              <w:rPr>
                <w:i/>
              </w:rPr>
              <w:t xml:space="preserve">Foto: Tore Paulsen </w:t>
            </w:r>
          </w:p>
        </w:tc>
        <w:tc>
          <w:tcPr>
            <w:tcW w:type="dxa" w:w="3685"/>
            <w:vMerge/>
          </w:tcPr>
          <w:p/>
        </w:tc>
      </w:tr>
    </w:tbl>
    <w:p/>
    <w:p>
      <w:pPr>
        <w:pStyle w:val="Heading1"/>
        <w:rPr>
          <w:lang w:eastAsia="nb-NO"/>
        </w:rPr>
      </w:pPr>
      <w:bookmarkStart w:id="10" w:name="_Toc25932207"/>
      <w:r>
        <w:rPr>
          <w:lang w:eastAsia="nb-NO"/>
        </w:rPr>
        <w:t>Kvalitetskrav</w:t>
      </w:r>
      <w:bookmarkEnd w:id="10"/>
    </w:p>
    <w:p>
      <w:pPr>
        <w:rPr>
          <w:lang w:eastAsia="nb-NO"/>
        </w:rPr>
      </w:pPr>
      <w:r>
        <w:rPr>
          <w:lang w:eastAsia="nb-NO"/>
        </w:rPr>
        <w:t xml:space="preserve">Nedenfor er det </w:t>
      </w:r>
    </w:p>
    <w:tbl>
      <w:tblPr>
        <w:tblStyle w:val="TableGrid"/>
        <w:tblW w:type="pct" w:w="5000"/>
        <w:tblLook w:firstColumn="1" w:firstRow="1" w:lastColumn="0" w:lastRow="0" w:noHBand="0" w:noVBand="1" w:val="04A0"/>
      </w:tblPr>
      <w:tblGrid>
        <w:gridCol w:w="659"/>
        <w:gridCol w:w="2553"/>
        <w:gridCol w:w="2093"/>
        <w:gridCol w:w="2623"/>
        <w:gridCol w:w="477"/>
        <w:gridCol w:w="477"/>
        <w:gridCol w:w="444"/>
        <w:gridCol w:w="410"/>
      </w:tblGrid>
      <w:tr>
        <w:tc>
          <w:tcPr>
            <w:tcW w:type="pct" w:w="338"/>
            <w:vMerge w:val="restart"/>
          </w:tcPr>
          <w:p>
            <w:r>
              <w:t>Krav nr</w:t>
            </w:r>
          </w:p>
        </w:tc>
        <w:tc>
          <w:tcPr>
            <w:tcW w:type="pct" w:w="1311"/>
            <w:vMerge w:val="restart"/>
          </w:tcPr>
          <w:p>
            <w:r>
              <w:t>Kvalitetselement</w:t>
            </w:r>
          </w:p>
        </w:tc>
        <w:tc>
          <w:tcPr>
            <w:tcW w:type="pct" w:w="1081"/>
            <w:vMerge w:val="restart"/>
          </w:tcPr>
          <w:p>
            <w:r>
              <w:t>Kvalitetsmål</w:t>
            </w:r>
          </w:p>
        </w:tc>
        <w:tc>
          <w:tcPr>
            <w:tcW w:type="pct" w:w="1353"/>
            <w:vMerge w:val="restart"/>
          </w:tcPr>
          <w:p>
            <w:r>
              <w:t>Beskrivelse</w:t>
            </w:r>
          </w:p>
        </w:tc>
        <w:tc>
          <w:tcPr>
            <w:tcW w:type="pct" w:w="917"/>
            <w:gridSpan w:val="4"/>
          </w:tcPr>
          <w:p>
            <w:r>
              <w:t>Kvalitetsklasse</w:t>
            </w:r>
          </w:p>
        </w:tc>
      </w:tr>
      <w:tr>
        <w:tc>
          <w:tcPr>
            <w:tcW w:type="pct" w:w="338"/>
            <w:vMerge/>
          </w:tcPr>
          <w:p/>
        </w:tc>
        <w:tc>
          <w:tcPr>
            <w:tcW w:type="pct" w:w="1311"/>
            <w:vMerge/>
          </w:tcPr>
          <w:p/>
        </w:tc>
        <w:tc>
          <w:tcPr>
            <w:tcW w:type="pct" w:w="1081"/>
            <w:vMerge/>
          </w:tcPr>
          <w:p/>
        </w:tc>
        <w:tc>
          <w:tcPr>
            <w:tcW w:type="pct" w:w="1353"/>
            <w:vMerge/>
          </w:tcPr>
          <w:p/>
        </w:tc>
        <w:tc>
          <w:tcPr>
            <w:tcW w:type="pct" w:w="245"/>
          </w:tcPr>
          <w:p>
            <w:r>
              <w:t>1</w:t>
            </w:r>
          </w:p>
        </w:tc>
        <w:tc>
          <w:tcPr>
            <w:tcW w:type="pct" w:w="222"/>
          </w:tcPr>
          <w:p>
            <w:r>
              <w:t>2</w:t>
            </w:r>
          </w:p>
        </w:tc>
        <w:tc>
          <w:tcPr>
            <w:tcW w:type="pct" w:w="234"/>
          </w:tcPr>
          <w:p>
            <w:r>
              <w:t>3</w:t>
            </w:r>
          </w:p>
        </w:tc>
        <w:tc>
          <w:tcPr>
            <w:tcW w:type="pct" w:w="215"/>
          </w:tcPr>
          <w:p>
            <w:r>
              <w:t>4</w:t>
            </w:r>
          </w:p>
        </w:tc>
      </w:tr>
      <w:tr>
        <w:tc>
          <w:tcPr>
            <w:tcW w:type="pct" w:w="338"/>
          </w:tcPr>
          <w:p>
            <w:r>
              <w:t>25.1</w:t>
            </w:r>
          </w:p>
        </w:tc>
        <w:tc>
          <w:tcPr>
            <w:tcW w:type="pct" w:w="1311"/>
          </w:tcPr>
          <w:p>
            <w:r>
              <w:t>Fullstendighet</w:t>
            </w:r>
          </w:p>
        </w:tc>
        <w:tc>
          <w:tcPr>
            <w:tcW w:type="pct" w:w="1081"/>
          </w:tcPr>
          <w:p>
            <w:r>
              <w:t>Andel manglende data</w:t>
            </w:r>
          </w:p>
        </w:tc>
        <w:tc>
          <w:tcPr>
            <w:tcW w:type="pct" w:w="1353"/>
          </w:tcPr>
          <w:p>
            <w:r>
              <w:t>ET merket A og P skal ha verdi</w:t>
            </w:r>
          </w:p>
        </w:tc>
        <w:tc>
          <w:tcPr>
            <w:tcW w:type="pct" w:w="245"/>
          </w:tcPr>
          <w:p>
            <w:r>
              <w:t>0%</w:t>
            </w:r>
          </w:p>
        </w:tc>
        <w:tc>
          <w:tcPr>
            <w:tcW w:type="pct" w:w="222"/>
          </w:tcPr>
          <w:p>
            <w:r>
              <w:t>0%</w:t>
            </w:r>
          </w:p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  <w:tr>
        <w:tc>
          <w:tcPr>
            <w:tcW w:type="pct" w:w="338"/>
          </w:tcPr>
          <w:p>
            <w:r>
              <w:t>25.2</w:t>
            </w:r>
          </w:p>
        </w:tc>
        <w:tc>
          <w:tcPr>
            <w:tcW w:type="pct" w:w="1311"/>
          </w:tcPr>
          <w:p>
            <w:r>
              <w:t>Fullstendighet</w:t>
            </w:r>
          </w:p>
        </w:tc>
        <w:tc>
          <w:tcPr>
            <w:tcW w:type="pct" w:w="1081"/>
          </w:tcPr>
          <w:p>
            <w:r>
              <w:t>Andel manglende data</w:t>
            </w:r>
          </w:p>
        </w:tc>
        <w:tc>
          <w:tcPr>
            <w:tcW w:type="pct" w:w="1353"/>
          </w:tcPr>
          <w:p>
            <w:r>
              <w:t>ET merket B skal ha verdi når betingelse inntrer</w:t>
            </w:r>
          </w:p>
        </w:tc>
        <w:tc>
          <w:tcPr>
            <w:tcW w:type="pct" w:w="245"/>
          </w:tcPr>
          <w:p>
            <w:r>
              <w:t>0%</w:t>
            </w:r>
          </w:p>
        </w:tc>
        <w:tc>
          <w:tcPr>
            <w:tcW w:type="pct" w:w="222"/>
          </w:tcPr>
          <w:p>
            <w:r>
              <w:t>0%</w:t>
            </w:r>
          </w:p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  <w:tr>
        <w:tc>
          <w:tcPr>
            <w:tcW w:type="pct" w:w="338"/>
          </w:tcPr>
          <w:p>
            <w:r>
              <w:t>25.3</w:t>
            </w:r>
          </w:p>
        </w:tc>
        <w:tc>
          <w:tcPr>
            <w:tcW w:type="pct" w:w="1311"/>
          </w:tcPr>
          <w:p>
            <w:r>
              <w:t>Absolutt Stedfestingsnøyaktighet</w:t>
            </w:r>
          </w:p>
        </w:tc>
        <w:tc>
          <w:tcPr>
            <w:tcW w:type="pct" w:w="1081"/>
          </w:tcPr>
          <w:p>
            <w:r>
              <w:t>Avvik fra krav i Datakatalogen tillattes (%)</w:t>
            </w:r>
          </w:p>
        </w:tc>
        <w:tc>
          <w:tcPr>
            <w:tcW w:type="pct" w:w="1353"/>
          </w:tcPr>
          <w:p>
            <w:r>
              <w:t>Geometri ET skal ha nøyaktighet som angitt i data</w:t>
            </w:r>
          </w:p>
        </w:tc>
        <w:tc>
          <w:tcPr>
            <w:tcW w:type="pct" w:w="245"/>
          </w:tcPr>
          <w:p>
            <w:r>
              <w:t>0%</w:t>
            </w:r>
          </w:p>
        </w:tc>
        <w:tc>
          <w:tcPr>
            <w:tcW w:type="pct" w:w="222"/>
          </w:tcPr>
          <w:p>
            <w:r>
              <w:t>0%</w:t>
            </w:r>
          </w:p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  <w:tr>
        <w:tc>
          <w:tcPr>
            <w:tcW w:type="pct" w:w="338"/>
          </w:tcPr>
          <w:p>
            <w:r>
              <w:t>25.5</w:t>
            </w:r>
          </w:p>
        </w:tc>
        <w:tc>
          <w:tcPr>
            <w:tcW w:type="pct" w:w="1311"/>
          </w:tcPr>
          <w:p/>
        </w:tc>
        <w:tc>
          <w:tcPr>
            <w:tcW w:type="pct" w:w="1081"/>
          </w:tcPr>
          <w:p/>
        </w:tc>
        <w:tc>
          <w:tcPr>
            <w:tcW w:type="pct" w:w="1353"/>
          </w:tcPr>
          <w:p/>
        </w:tc>
        <w:tc>
          <w:tcPr>
            <w:tcW w:type="pct" w:w="245"/>
          </w:tcPr>
          <w:p/>
        </w:tc>
        <w:tc>
          <w:tcPr>
            <w:tcW w:type="pct" w:w="222"/>
          </w:tcPr>
          <w:p/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  <w:tr>
        <w:tc>
          <w:tcPr>
            <w:tcW w:type="pct" w:w="338"/>
          </w:tcPr>
          <w:p/>
        </w:tc>
        <w:tc>
          <w:tcPr>
            <w:tcW w:type="pct" w:w="1311"/>
          </w:tcPr>
          <w:p/>
        </w:tc>
        <w:tc>
          <w:tcPr>
            <w:tcW w:type="pct" w:w="1081"/>
          </w:tcPr>
          <w:p/>
        </w:tc>
        <w:tc>
          <w:tcPr>
            <w:tcW w:type="pct" w:w="1353"/>
          </w:tcPr>
          <w:p/>
        </w:tc>
        <w:tc>
          <w:tcPr>
            <w:tcW w:type="pct" w:w="245"/>
          </w:tcPr>
          <w:p/>
        </w:tc>
        <w:tc>
          <w:tcPr>
            <w:tcW w:type="pct" w:w="222"/>
          </w:tcPr>
          <w:p/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</w:tbl>
    <w:p/>
    <w:p>
      <w:pPr>
        <w:pStyle w:val="Heading1"/>
      </w:pPr>
      <w:r>
        <w:br w:type="page"/>
      </w:r>
    </w:p>
    <w:p>
      <w:pPr>
        <w:pStyle w:val="Heading1"/>
      </w:pPr>
      <w:bookmarkStart w:id="11" w:name="_Toc25932208"/>
      <w:r>
        <w:lastRenderedPageBreak/>
        <w:t>UML</w:t>
      </w:r>
      <w:bookmarkEnd w:id="11"/>
      <w:r>
        <w:t>-modell</w:t>
      </w:r>
    </w:p>
    <w:p/>
    <w:p>
      <w:pPr>
        <w:pStyle w:val="Heading2"/>
      </w:pPr>
      <w:r>
        <w:t>Relasjoner – mor-datter</w:t>
      </w:r>
    </w:p>
    <w:p>
      <w:r>
        <w:t>UML-diagram viser relasjoner til andre vegobjekttyper</w:t>
      </w:r>
      <w:bookmarkStart w:id="12" w:name="_GoBack"/>
      <w:bookmarkEnd w:id="12"/>
      <w:r>
        <w:t>.</w:t>
      </w:r>
    </w:p>
    <w:p>
      <w:pPr>
        <w:jc w:val="center"/>
      </w:pPr>
      <w:r>
        <w:rPr>
          <w:noProof/>
        </w:rPr>
        <w:drawing>
          <wp:inline distB="0" distL="0" distR="0" distT="0">
            <wp:extent cx="6480000" cy="6840000"/>
            <wp:effectExtent b="0" l="0" r="0" t="0"/>
            <wp:docPr descr=""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javadocx.gif"/>
                    <pic:cNvPicPr/>
                  </pic:nvPicPr>
                  <pic:blipFill>
                    <a:blip r:embed="rIdjavadocx_1e472094-430e-43e8-9b2d-00242e157c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Heading2"/>
      </w:pPr>
      <w:r>
        <w:lastRenderedPageBreak/>
        <w:t>Betingelser</w:t>
      </w:r>
    </w:p>
    <w:p>
      <w:r>
        <w:t>UML-diagram viser egenskaper med betingelser.</w:t>
      </w:r>
    </w:p>
    <w:p>
      <w:pPr>
        <w:jc w:val="center"/>
      </w:pPr>
      <w:r>
        <w:rPr>
          <w:noProof/>
        </w:rPr>
        <w:drawing>
          <wp:inline distB="0" distL="0" distR="0" distT="0">
            <wp:extent cx="3960000" cy="3600000"/>
            <wp:effectExtent b="0" l="0" r="0" t="0"/>
            <wp:docPr descr=""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javadocx.gif"/>
                    <pic:cNvPicPr/>
                  </pic:nvPicPr>
                  <pic:blipFill>
                    <a:blip r:embed="rIdjavadocx_c52114c2-118c-47b2-9b5f-81f5fb453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Heading2"/>
      </w:pPr>
      <w:r>
        <w:lastRenderedPageBreak/>
        <w:t>Tillatte verdier</w:t>
      </w:r>
    </w:p>
    <w:p>
      <w:r>
        <w:t>UML-diagram viser egenskaper med tillatte verdier.</w:t>
      </w:r>
    </w:p>
    <w:p>
      <w:pPr>
        <w:jc w:val="center"/>
      </w:pPr>
      <w:r>
        <w:rPr>
          <w:noProof/>
        </w:rPr>
        <w:drawing>
          <wp:inline distB="0" distL="0" distR="0" distT="0">
            <wp:extent cx="6480000" cy="2160000"/>
            <wp:effectExtent b="0" l="0" r="0" t="0"/>
            <wp:docPr descr=""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javadocx.gif"/>
                    <pic:cNvPicPr/>
                  </pic:nvPicPr>
                  <pic:blipFill>
                    <a:blip r:embed="rIdjavadocx_b38c87b7-fa70-49a4-943e-212072f11d1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 xmlns:w="http://schemas.openxmlformats.org/wordprocessingml/2006/main">
      <w:headerReference xmlns:r="http://schemas.openxmlformats.org/officeDocument/2006/relationships" r:id="rId12" w:type="even"/>
      <w:headerReference xmlns:r="http://schemas.openxmlformats.org/officeDocument/2006/relationships" r:id="rId13" w:type="default"/>
      <w:footerReference xmlns:r="http://schemas.openxmlformats.org/officeDocument/2006/relationships" r:id="rId14" w:type="even"/>
      <w:footerReference xmlns:r="http://schemas.openxmlformats.org/officeDocument/2006/relationships" r:id="rId15" w:type="default"/>
      <w:headerReference xmlns:r="http://schemas.openxmlformats.org/officeDocument/2006/relationships" r:id="rId16" w:type="first"/>
      <w:footerReference xmlns:r="http://schemas.openxmlformats.org/officeDocument/2006/relationships" r:id="rId17" w:type="first"/>
      <w:pgSz w:h="16838" w:w="11906"/>
      <w:pgMar w:bottom="1440" w:footer="708" w:gutter="0" w:header="708" w:left="1080" w:right="1080" w:top="1440"/>
      <w:cols w:space="708"/>
      <w:titlePg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/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endnote w:id="-1" w:type="separator">
    <w:p>
      <w:pPr>
        <w:spacing w:after="0"/>
      </w:pPr>
      <w:r>
        <w:separator/>
      </w:r>
    </w:p>
  </w:endnote>
  <w:endnote w:id="0" w:type="continuationSeparator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footnote w:id="-1" w:type="separator">
    <w:p>
      <w:pPr>
        <w:spacing w:after="0"/>
      </w:pPr>
      <w:r>
        <w:separator/>
      </w:r>
    </w:p>
  </w:footnote>
  <w:footnote w:id="0" w:type="continuationSeparator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jc w:val="right"/>
    </w:pPr>
    <w:r>
      <w:rPr>
        <w:noProof/>
        <w:lang w:eastAsia="nb-NO"/>
      </w:rPr>
      <w:drawing>
        <wp:inline distT="0" distB="0" distL="0" distR="0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vegvesen.no/_attachment/1390970/binary/1113948?fast_title=Statens+vegvesens+logo+i+strekversjon+%28sort%2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200" cy="4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abstractNum w:abstractNumId="24111">
    <w:multiLevelType w:val="hybridMultilevel"/>
    <w:lvl w:ilvl="0" w:tplc="8411120">
      <w:start w:val="1"/>
      <w:numFmt w:val="decimal"/>
      <w:lvlText w:val="%1."/>
      <w:lvlJc w:val="left"/>
      <w:pPr>
        <w:ind w:hanging="360" w:left="720"/>
      </w:pPr>
    </w:lvl>
    <w:lvl w:ilvl="1" w:tentative="1" w:tplc="8411120">
      <w:start w:val="1"/>
      <w:numFmt w:val="lowerLetter"/>
      <w:lvlText w:val="%2."/>
      <w:lvlJc w:val="left"/>
      <w:pPr>
        <w:ind w:hanging="360" w:left="1440"/>
      </w:pPr>
    </w:lvl>
    <w:lvl w:ilvl="2" w:tentative="1" w:tplc="8411120">
      <w:start w:val="1"/>
      <w:numFmt w:val="lowerRoman"/>
      <w:lvlText w:val="%3."/>
      <w:lvlJc w:val="right"/>
      <w:pPr>
        <w:ind w:hanging="180" w:left="2160"/>
      </w:pPr>
    </w:lvl>
    <w:lvl w:ilvl="3" w:tentative="1" w:tplc="8411120">
      <w:start w:val="1"/>
      <w:numFmt w:val="decimal"/>
      <w:lvlText w:val="%4."/>
      <w:lvlJc w:val="left"/>
      <w:pPr>
        <w:ind w:hanging="360" w:left="2880"/>
      </w:pPr>
    </w:lvl>
    <w:lvl w:ilvl="4" w:tentative="1" w:tplc="8411120">
      <w:start w:val="1"/>
      <w:numFmt w:val="lowerLetter"/>
      <w:lvlText w:val="%5."/>
      <w:lvlJc w:val="left"/>
      <w:pPr>
        <w:ind w:hanging="360" w:left="3600"/>
      </w:pPr>
    </w:lvl>
    <w:lvl w:ilvl="5" w:tentative="1" w:tplc="8411120">
      <w:start w:val="1"/>
      <w:numFmt w:val="lowerRoman"/>
      <w:lvlText w:val="%6."/>
      <w:lvlJc w:val="right"/>
      <w:pPr>
        <w:ind w:hanging="180" w:left="4320"/>
      </w:pPr>
    </w:lvl>
    <w:lvl w:ilvl="6" w:tentative="1" w:tplc="8411120">
      <w:start w:val="1"/>
      <w:numFmt w:val="decimal"/>
      <w:lvlText w:val="%7."/>
      <w:lvlJc w:val="left"/>
      <w:pPr>
        <w:ind w:hanging="360" w:left="5040"/>
      </w:pPr>
    </w:lvl>
    <w:lvl w:ilvl="7" w:tentative="1" w:tplc="8411120">
      <w:start w:val="1"/>
      <w:numFmt w:val="lowerLetter"/>
      <w:lvlText w:val="%8."/>
      <w:lvlJc w:val="left"/>
      <w:pPr>
        <w:ind w:hanging="360" w:left="5760"/>
      </w:pPr>
    </w:lvl>
    <w:lvl w:ilvl="8" w:tentative="1" w:tplc="8411120">
      <w:start w:val="1"/>
      <w:numFmt w:val="lowerRoman"/>
      <w:lvlText w:val="%9."/>
      <w:lvlJc w:val="right"/>
      <w:pPr>
        <w:ind w:hanging="180" w:left="6480"/>
      </w:pPr>
    </w:lvl>
  </w:abstractNum>
  <w:abstractNum w:abstractNumId="24110">
    <w:multiLevelType w:val="hybridMultilevel"/>
    <w:lvl w:ilvl="0" w:tplc="1807419">
      <w:start w:val="1"/>
      <w:numFmt w:val="bullet"/>
      <w:lvlText w:val=""/>
      <w:lvlJc w:val="left"/>
      <w:pPr>
        <w:ind w:hanging="360" w:left="720"/>
      </w:pPr>
      <w:rPr>
        <w:rFonts w:ascii="Symbol" w:hAnsi="Symbol" w:hint="default"/>
      </w:rPr>
    </w:lvl>
    <w:lvl w:ilvl="1" w:tentative="1" w:tplc="0C0A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C0A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C0A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C0A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C0A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C0A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C0A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C0A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15:restartNumberingAfterBreak="0" w:abstractNumId="0">
    <w:nsid w:val="1F2327FB"/>
    <w:multiLevelType w:val="multilevel"/>
    <w:tmpl w:val="04140025"/>
    <w:lvl w:ilvl="0">
      <w:start w:val="1"/>
      <w:numFmt w:val="decimal"/>
      <w:pStyle w:val="Heading1"/>
      <w:lvlText w:val="%1"/>
      <w:lvlJc w:val="left"/>
      <w:pPr>
        <w:ind w:hanging="432" w:left="432"/>
      </w:pPr>
    </w:lvl>
    <w:lvl w:ilvl="1">
      <w:start w:val="1"/>
      <w:numFmt w:val="decimal"/>
      <w:pStyle w:val="Heading2"/>
      <w:lvlText w:val="%1.%2"/>
      <w:lvlJc w:val="left"/>
      <w:pPr>
        <w:ind w:hanging="576" w:left="576"/>
      </w:pPr>
    </w:lvl>
    <w:lvl w:ilvl="2">
      <w:start w:val="1"/>
      <w:numFmt w:val="decimal"/>
      <w:pStyle w:val="Heading3"/>
      <w:lvlText w:val="%1.%2.%3"/>
      <w:lvlJc w:val="left"/>
      <w:pPr>
        <w:ind w:hanging="720" w:left="720"/>
      </w:pPr>
    </w:lvl>
    <w:lvl w:ilvl="3">
      <w:start w:val="1"/>
      <w:numFmt w:val="decimal"/>
      <w:pStyle w:val="Heading4"/>
      <w:lvlText w:val="%1.%2.%3.%4"/>
      <w:lvlJc w:val="left"/>
      <w:pPr>
        <w:ind w:hanging="864" w:left="864"/>
      </w:pPr>
    </w:lvl>
    <w:lvl w:ilvl="4">
      <w:start w:val="1"/>
      <w:numFmt w:val="decimal"/>
      <w:pStyle w:val="Heading5"/>
      <w:lvlText w:val="%1.%2.%3.%4.%5"/>
      <w:lvlJc w:val="left"/>
      <w:pPr>
        <w:ind w:hanging="1008" w:left="1008"/>
      </w:pPr>
    </w:lvl>
    <w:lvl w:ilvl="5">
      <w:start w:val="1"/>
      <w:numFmt w:val="decimal"/>
      <w:pStyle w:val="Heading6"/>
      <w:lvlText w:val="%1.%2.%3.%4.%5.%6"/>
      <w:lvlJc w:val="left"/>
      <w:pPr>
        <w:ind w:hanging="1152" w:left="1152"/>
      </w:pPr>
    </w:lvl>
    <w:lvl w:ilvl="6">
      <w:start w:val="1"/>
      <w:numFmt w:val="decimal"/>
      <w:pStyle w:val="Heading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Heading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Heading9"/>
      <w:lvlText w:val="%1.%2.%3.%4.%5.%6.%7.%8.%9"/>
      <w:lvlJc w:val="left"/>
      <w:pPr>
        <w:ind w:hanging="1584" w:left="1584"/>
      </w:pPr>
    </w:lvl>
  </w:abstractNum>
  <w:abstractNum w15:restartNumberingAfterBreak="0" w:abstractNumId="1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hanging="360" w:left="72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hanging="360" w:left="1440"/>
      </w:pPr>
    </w:lvl>
    <w:lvl w:ilvl="2" w:tplc="0414001B">
      <w:start w:val="1"/>
      <w:numFmt w:val="lowerRoman"/>
      <w:lvlText w:val="%3."/>
      <w:lvlJc w:val="right"/>
      <w:pPr>
        <w:ind w:hanging="180" w:left="2160"/>
      </w:pPr>
    </w:lvl>
    <w:lvl w:ilvl="3" w:tplc="2CC838FE">
      <w:numFmt w:val="bullet"/>
      <w:lvlText w:val="-"/>
      <w:lvlJc w:val="left"/>
      <w:pPr>
        <w:ind w:hanging="360" w:left="2880"/>
      </w:pPr>
      <w:rPr>
        <w:rFonts w:ascii="Lucida Sans Unicode" w:cs="Lucida Sans Unicode" w:eastAsiaTheme="minorHAnsi" w:hAnsi="Lucida Sans Unicode" w:hint="default"/>
      </w:rPr>
    </w:lvl>
    <w:lvl w:ilvl="4" w:tentative="1" w:tplc="04140019">
      <w:start w:val="1"/>
      <w:numFmt w:val="lowerLetter"/>
      <w:lvlText w:val="%5."/>
      <w:lvlJc w:val="left"/>
      <w:pPr>
        <w:ind w:hanging="360" w:left="3600"/>
      </w:pPr>
    </w:lvl>
    <w:lvl w:ilvl="5" w:tentative="1" w:tplc="0414001B">
      <w:start w:val="1"/>
      <w:numFmt w:val="lowerRoman"/>
      <w:lvlText w:val="%6."/>
      <w:lvlJc w:val="right"/>
      <w:pPr>
        <w:ind w:hanging="180" w:left="4320"/>
      </w:pPr>
    </w:lvl>
    <w:lvl w:ilvl="6" w:tentative="1" w:tplc="0414000F">
      <w:start w:val="1"/>
      <w:numFmt w:val="decimal"/>
      <w:lvlText w:val="%7."/>
      <w:lvlJc w:val="left"/>
      <w:pPr>
        <w:ind w:hanging="360" w:left="5040"/>
      </w:pPr>
    </w:lvl>
    <w:lvl w:ilvl="7" w:tentative="1" w:tplc="04140019">
      <w:start w:val="1"/>
      <w:numFmt w:val="lowerLetter"/>
      <w:lvlText w:val="%8."/>
      <w:lvlJc w:val="left"/>
      <w:pPr>
        <w:ind w:hanging="360" w:left="5760"/>
      </w:pPr>
    </w:lvl>
    <w:lvl w:ilvl="8" w:tentative="1" w:tplc="0414001B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24110">
    <w:abstractNumId w:val="24110"/>
  </w:num>
  <w:num w:numId="24111">
    <w:abstractNumId w:val="24111"/>
  </w:num>
</w:numbering>
</file>

<file path=word/settings.xml><?xml version="1.0" encoding="utf-8"?>
<w:setting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zoom w:percent="100"/>
  <w:attachedTemplate r:id="rId1"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,"/>
  <w:listSeparator w:val=";"/>
  <w15:chartTrackingRefBased/>
  <w15:docId w15:val="{0EBAC897-A588-44FE-9C53-F29FFD352F9B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nb-NO"/>
      </w:rPr>
    </w:rPrDefault>
    <w:pPrDefault>
      <w:pPr>
        <w:spacing w:after="20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sz w:val="20"/>
    </w:rPr>
  </w:style>
  <w:style w:styleId="Heading1" w:type="paragraph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cstheme="majorBidi" w:eastAsiaTheme="majorEastAsia" w:hAnsiTheme="majorHAnsi"/>
      <w:b/>
      <w:bCs/>
      <w:color w:val="ED9300"/>
      <w:sz w:val="28"/>
      <w:szCs w:val="28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cstheme="majorBidi" w:eastAsiaTheme="majorEastAsia" w:hAnsiTheme="majorHAnsi"/>
      <w:b/>
      <w:bCs/>
      <w:color w:val="3D4F59"/>
      <w:sz w:val="26"/>
      <w:szCs w:val="26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cstheme="majorBidi" w:eastAsiaTheme="majorEastAsia" w:hAnsiTheme="majorHAnsi"/>
      <w:b/>
      <w:bCs/>
      <w:color w:themeColor="accent1" w:val="ED9300"/>
      <w:sz w:val="22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cstheme="majorBidi" w:eastAsiaTheme="majorEastAsia" w:hAnsiTheme="majorHAnsi"/>
      <w:b/>
      <w:bCs/>
      <w:i/>
      <w:iCs/>
      <w:color w:themeColor="accent1" w:val="ED9300"/>
      <w:sz w:val="22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cstheme="majorBidi" w:eastAsiaTheme="majorEastAsia" w:hAnsiTheme="majorHAnsi"/>
      <w:color w:val="3D4F59"/>
      <w:sz w:val="22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cstheme="majorBidi" w:eastAsiaTheme="majorEastAsia" w:hAnsiTheme="majorHAnsi"/>
      <w:i/>
      <w:iCs/>
      <w:color w:themeColor="accent1" w:themeShade="7F" w:val="764900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after="0" w:before="40"/>
      <w:outlineLvl w:val="6"/>
    </w:pPr>
    <w:rPr>
      <w:rFonts w:asciiTheme="majorHAnsi" w:cstheme="majorBidi" w:eastAsiaTheme="majorEastAsia" w:hAnsiTheme="majorHAnsi"/>
      <w:i/>
      <w:iCs/>
      <w:color w:themeColor="accent1" w:themeShade="7F" w:val="764900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after="0" w:before="40"/>
      <w:outlineLvl w:val="7"/>
    </w:pPr>
    <w:rPr>
      <w:rFonts w:asciiTheme="majorHAnsi" w:cstheme="majorBidi" w:eastAsiaTheme="majorEastAsia" w:hAnsiTheme="majorHAnsi"/>
      <w:color w:themeColor="text1" w:themeTint="D8" w:val="272727"/>
      <w:sz w:val="21"/>
      <w:szCs w:val="21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after="0" w:before="40"/>
      <w:outlineLvl w:val="8"/>
    </w:pPr>
    <w:rPr>
      <w:rFonts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SVVstor" w:type="paragraph">
    <w:name w:val="SVV stor"/>
    <w:basedOn w:val="Normal"/>
    <w:uiPriority w:val="9"/>
    <w:qFormat/>
    <w:rPr>
      <w:sz w:val="96"/>
    </w:rPr>
  </w:style>
  <w:style w:customStyle="1" w:styleId="Heading1Char" w:type="characte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ED9300"/>
      <w:sz w:val="28"/>
      <w:szCs w:val="28"/>
    </w:rPr>
  </w:style>
  <w:style w:customStyle="1" w:styleId="Heading2Char" w:type="characte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3D4F59"/>
      <w:sz w:val="26"/>
      <w:szCs w:val="26"/>
    </w:rPr>
  </w:style>
  <w:style w:customStyle="1" w:styleId="Heading3Char" w:type="characte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themeColor="accent1" w:val="ED9300"/>
    </w:rPr>
  </w:style>
  <w:style w:customStyle="1" w:styleId="Heading4Char" w:type="character">
    <w:name w:val="Heading 4 Char"/>
    <w:basedOn w:val="DefaultParagraphFont"/>
    <w:link w:val="Heading4"/>
    <w:uiPriority w:val="9"/>
    <w:semiHidden/>
    <w:rPr>
      <w:rFonts w:asciiTheme="majorHAnsi" w:cstheme="majorBidi" w:eastAsiaTheme="majorEastAsia" w:hAnsiTheme="majorHAnsi"/>
      <w:b/>
      <w:bCs/>
      <w:i/>
      <w:iCs/>
      <w:color w:themeColor="accent1" w:val="ED9300"/>
    </w:rPr>
  </w:style>
  <w:style w:customStyle="1" w:styleId="Heading5Char" w:type="character">
    <w:name w:val="Heading 5 Char"/>
    <w:basedOn w:val="DefaultParagraphFont"/>
    <w:link w:val="Heading5"/>
    <w:uiPriority w:val="9"/>
    <w:semiHidden/>
    <w:rPr>
      <w:rFonts w:asciiTheme="majorHAnsi" w:cstheme="majorBidi" w:eastAsiaTheme="majorEastAsia" w:hAnsiTheme="majorHAnsi"/>
      <w:color w:val="3D4F59"/>
    </w:rPr>
  </w:style>
  <w:style w:customStyle="1" w:styleId="Heading6Char" w:type="character">
    <w:name w:val="Heading 6 Char"/>
    <w:basedOn w:val="DefaultParagraphFont"/>
    <w:link w:val="Heading6"/>
    <w:uiPriority w:val="9"/>
    <w:semiHidden/>
    <w:rPr>
      <w:rFonts w:asciiTheme="majorHAnsi" w:cstheme="majorBidi" w:eastAsiaTheme="majorEastAsia" w:hAnsiTheme="majorHAnsi"/>
      <w:i/>
      <w:iCs/>
      <w:color w:themeColor="accent1" w:themeShade="7F" w:val="764900"/>
      <w:sz w:val="20"/>
    </w:rPr>
  </w:style>
  <w:style w:styleId="Title" w:type="paragraph">
    <w:name w:val="Title"/>
    <w:basedOn w:val="Normal"/>
    <w:next w:val="Normal"/>
    <w:link w:val="TitleChar"/>
    <w:uiPriority w:val="10"/>
    <w:qFormat/>
    <w:pPr>
      <w:pBdr>
        <w:bottom w:color="ED9300" w:space="4" w:sz="8" w:themeColor="accent1" w:val="single"/>
      </w:pBdr>
      <w:spacing w:after="300"/>
      <w:contextualSpacing/>
    </w:pPr>
    <w:rPr>
      <w:rFonts w:asciiTheme="majorHAnsi" w:cstheme="majorBidi" w:eastAsiaTheme="majorEastAsia" w:hAnsiTheme="majorHAnsi"/>
      <w:color w:val="ED9300"/>
      <w:spacing w:val="5"/>
      <w:kern w:val="28"/>
      <w:sz w:val="52"/>
      <w:szCs w:val="52"/>
    </w:rPr>
  </w:style>
  <w:style w:customStyle="1" w:styleId="TitleChar" w:type="characte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ED9300"/>
      <w:spacing w:val="5"/>
      <w:kern w:val="28"/>
      <w:sz w:val="52"/>
      <w:szCs w:val="52"/>
    </w:rPr>
  </w:style>
  <w:style w:styleId="Subtitle" w:type="paragraph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cstheme="majorBidi" w:eastAsiaTheme="majorEastAsia" w:hAnsiTheme="majorHAnsi"/>
      <w:i/>
      <w:iCs/>
      <w:color w:val="3D4F59"/>
      <w:spacing w:val="15"/>
      <w:sz w:val="24"/>
      <w:szCs w:val="24"/>
    </w:rPr>
  </w:style>
  <w:style w:customStyle="1" w:styleId="SubtitleChar" w:type="characte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3D4F59"/>
      <w:spacing w:val="15"/>
      <w:sz w:val="24"/>
      <w:szCs w:val="24"/>
    </w:rPr>
  </w:style>
  <w:style w:styleId="Strong" w:type="character">
    <w:name w:val="Strong"/>
    <w:basedOn w:val="DefaultParagraphFont"/>
    <w:uiPriority w:val="22"/>
    <w:qFormat/>
    <w:rPr>
      <w:b/>
      <w:bCs/>
      <w:color w:val="4DB848"/>
    </w:rPr>
  </w:style>
  <w:style w:styleId="Emphasis" w:type="character">
    <w:name w:val="Emphasis"/>
    <w:basedOn w:val="DefaultParagraphFont"/>
    <w:uiPriority w:val="20"/>
    <w:qFormat/>
    <w:rPr>
      <w:i/>
      <w:iCs/>
    </w:rPr>
  </w:style>
  <w:style w:styleId="NoSpacing" w:type="paragraph">
    <w:name w:val="No Spacing"/>
    <w:uiPriority w:val="99"/>
    <w:qFormat/>
    <w:pPr>
      <w:spacing w:after="0"/>
    </w:pPr>
    <w:rPr>
      <w:sz w:val="20"/>
    </w:rPr>
  </w:style>
  <w:style w:styleId="ListParagraph" w:type="paragraph">
    <w:name w:val="List Paragraph"/>
    <w:basedOn w:val="Normal"/>
    <w:uiPriority w:val="34"/>
    <w:qFormat/>
    <w:pPr>
      <w:ind w:left="720"/>
      <w:contextualSpacing/>
    </w:pPr>
  </w:style>
  <w:style w:styleId="Quote" w:type="paragraph">
    <w:name w:val="Quote"/>
    <w:basedOn w:val="Normal"/>
    <w:next w:val="Normal"/>
    <w:link w:val="QuoteChar"/>
    <w:uiPriority w:val="29"/>
    <w:qFormat/>
    <w:rPr>
      <w:i/>
      <w:iCs/>
      <w:color w:themeColor="text1" w:val="000000"/>
      <w:sz w:val="22"/>
    </w:rPr>
  </w:style>
  <w:style w:customStyle="1" w:styleId="QuoteChar" w:type="character">
    <w:name w:val="Quote Char"/>
    <w:basedOn w:val="DefaultParagraphFont"/>
    <w:link w:val="Quote"/>
    <w:uiPriority w:val="29"/>
    <w:rPr>
      <w:i/>
      <w:iCs/>
      <w:color w:themeColor="text1" w:val="000000"/>
    </w:rPr>
  </w:style>
  <w:style w:styleId="IntenseQuote" w:type="paragraph">
    <w:name w:val="Intense Quote"/>
    <w:basedOn w:val="Normal"/>
    <w:next w:val="Normal"/>
    <w:link w:val="IntenseQuoteChar"/>
    <w:uiPriority w:val="30"/>
    <w:qFormat/>
    <w:pPr>
      <w:pBdr>
        <w:bottom w:color="ED9300" w:space="4" w:sz="4" w:themeColor="accent1" w:val="single"/>
      </w:pBdr>
      <w:spacing w:after="280" w:before="200"/>
      <w:ind w:left="936" w:right="936"/>
    </w:pPr>
    <w:rPr>
      <w:b/>
      <w:bCs/>
      <w:i/>
      <w:iCs/>
      <w:color w:val="009AC7"/>
      <w:sz w:val="22"/>
    </w:rPr>
  </w:style>
  <w:style w:customStyle="1" w:styleId="IntenseQuoteChar" w:type="character">
    <w:name w:val="Intense Quote Char"/>
    <w:basedOn w:val="DefaultParagraphFont"/>
    <w:link w:val="IntenseQuote"/>
    <w:uiPriority w:val="30"/>
    <w:rPr>
      <w:b/>
      <w:bCs/>
      <w:i/>
      <w:iCs/>
      <w:color w:val="009AC7"/>
    </w:rPr>
  </w:style>
  <w:style w:styleId="SubtleEmphasis" w:type="character">
    <w:name w:val="Subtle Emphasis"/>
    <w:basedOn w:val="DefaultParagraphFont"/>
    <w:uiPriority w:val="19"/>
    <w:qFormat/>
    <w:rPr>
      <w:i/>
      <w:iCs/>
      <w:color w:val="3D4F59"/>
    </w:rPr>
  </w:style>
  <w:style w:styleId="IntenseEmphasis" w:type="character">
    <w:name w:val="Intense Emphasis"/>
    <w:basedOn w:val="DefaultParagraphFont"/>
    <w:uiPriority w:val="21"/>
    <w:qFormat/>
    <w:rPr>
      <w:b/>
      <w:bCs/>
      <w:i/>
      <w:iCs/>
      <w:color w:val="009AC7"/>
    </w:rPr>
  </w:style>
  <w:style w:styleId="SubtleReference" w:type="character">
    <w:name w:val="Subtle Reference"/>
    <w:basedOn w:val="DefaultParagraphFont"/>
    <w:uiPriority w:val="31"/>
    <w:qFormat/>
    <w:rPr>
      <w:smallCaps/>
      <w:color w:val="4DB848"/>
      <w:u w:val="single"/>
    </w:rPr>
  </w:style>
  <w:style w:styleId="IntenseReference" w:type="character">
    <w:name w:val="Intense Reference"/>
    <w:basedOn w:val="DefaultParagraphFont"/>
    <w:uiPriority w:val="32"/>
    <w:qFormat/>
    <w:rPr>
      <w:b/>
      <w:bCs/>
      <w:smallCaps/>
      <w:color w:val="009AC7"/>
      <w:spacing w:val="5"/>
      <w:u w:val="single"/>
    </w:rPr>
  </w:style>
  <w:style w:styleId="BookTitle" w:type="character">
    <w:name w:val="Book Title"/>
    <w:basedOn w:val="DefaultParagraphFont"/>
    <w:uiPriority w:val="33"/>
    <w:qFormat/>
    <w:rPr>
      <w:b/>
      <w:bCs/>
      <w:smallCaps/>
      <w:color w:val="4DB848"/>
      <w:spacing w:val="5"/>
    </w:rPr>
  </w:style>
  <w:style w:styleId="BalloonText" w:type="paragraph">
    <w:name w:val="Balloon Text"/>
    <w:basedOn w:val="Normal"/>
    <w:link w:val="BalloonTextChar"/>
    <w:uiPriority w:val="99"/>
    <w:semiHidden/>
    <w:unhideWhenUsed/>
    <w:rPr>
      <w:rFonts w:ascii="Tahoma" w:cs="Tahoma" w:hAnsi="Tahoma"/>
      <w:sz w:val="16"/>
      <w:szCs w:val="16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Pr>
      <w:rFonts w:ascii="Tahoma" w:cs="Tahoma" w:hAnsi="Tahoma"/>
      <w:sz w:val="16"/>
      <w:szCs w:val="16"/>
    </w:rPr>
  </w:style>
  <w:style w:styleId="Header" w:type="paragraph">
    <w:name w:val="header"/>
    <w:basedOn w:val="Normal"/>
    <w:link w:val="HeaderChar"/>
    <w:uiPriority w:val="99"/>
    <w:unhideWhenUsed/>
    <w:pPr>
      <w:tabs>
        <w:tab w:pos="4536" w:val="center"/>
        <w:tab w:pos="9072" w:val="right"/>
      </w:tabs>
      <w:spacing w:after="0"/>
    </w:pPr>
  </w:style>
  <w:style w:customStyle="1" w:styleId="HeaderChar" w:type="character">
    <w:name w:val="Header Char"/>
    <w:basedOn w:val="DefaultParagraphFont"/>
    <w:link w:val="Header"/>
    <w:uiPriority w:val="99"/>
    <w:rPr>
      <w:sz w:val="20"/>
    </w:rPr>
  </w:style>
  <w:style w:styleId="Footer" w:type="paragraph">
    <w:name w:val="footer"/>
    <w:basedOn w:val="Normal"/>
    <w:link w:val="FooterChar"/>
    <w:uiPriority w:val="99"/>
    <w:unhideWhenUsed/>
    <w:pPr>
      <w:tabs>
        <w:tab w:pos="4536" w:val="center"/>
        <w:tab w:pos="9072" w:val="right"/>
      </w:tabs>
      <w:spacing w:after="0"/>
    </w:pPr>
  </w:style>
  <w:style w:customStyle="1" w:styleId="FooterChar" w:type="character">
    <w:name w:val="Footer Char"/>
    <w:basedOn w:val="DefaultParagraphFont"/>
    <w:link w:val="Footer"/>
    <w:uiPriority w:val="99"/>
    <w:rPr>
      <w:sz w:val="20"/>
    </w:rPr>
  </w:style>
  <w:style w:styleId="TableGrid" w:type="table">
    <w:name w:val="Table Grid"/>
    <w:basedOn w:val="TableNormal"/>
    <w:uiPriority w:val="5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customStyle="1" w:styleId="Skjematekst" w:type="paragraph">
    <w:name w:val="Skjematekst"/>
    <w:basedOn w:val="Normal"/>
    <w:uiPriority w:val="35"/>
    <w:qFormat/>
    <w:pPr>
      <w:spacing w:after="0"/>
    </w:pPr>
    <w:rPr>
      <w:sz w:val="16"/>
      <w:szCs w:val="16"/>
    </w:rPr>
  </w:style>
  <w:style w:styleId="PlaceholderText" w:type="character">
    <w:name w:val="Placeholder Text"/>
    <w:basedOn w:val="DefaultParagraphFont"/>
    <w:uiPriority w:val="99"/>
    <w:semiHidden/>
    <w:rPr>
      <w:color w:val="808080"/>
    </w:rPr>
  </w:style>
  <w:style w:styleId="CommentReference" w:type="character">
    <w:name w:val="annotation reference"/>
    <w:basedOn w:val="DefaultParagraphFont"/>
    <w:uiPriority w:val="99"/>
    <w:semiHidden/>
    <w:unhideWhenUsed/>
    <w:rPr>
      <w:sz w:val="16"/>
      <w:szCs w:val="16"/>
    </w:rPr>
  </w:style>
  <w:style w:styleId="CommentText" w:type="paragraph">
    <w:name w:val="annotation text"/>
    <w:basedOn w:val="Normal"/>
    <w:link w:val="CommentTextChar"/>
    <w:uiPriority w:val="99"/>
    <w:semiHidden/>
    <w:unhideWhenUsed/>
    <w:rPr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semiHidden/>
    <w:rPr>
      <w:sz w:val="20"/>
      <w:szCs w:val="20"/>
    </w:rPr>
  </w:style>
  <w:style w:styleId="CommentSubject" w:type="paragraph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customStyle="1" w:styleId="CommentSubjectChar" w:type="characte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styleId="ListTable3-Accent3" w:type="table">
    <w:name w:val="List Table 3 Accent 3"/>
    <w:basedOn w:val="TableNormal"/>
    <w:uiPriority w:val="48"/>
    <w:pPr>
      <w:spacing w:after="0"/>
    </w:pPr>
    <w:tblPr>
      <w:tblStyleRowBandSize w:val="1"/>
      <w:tblStyleColBandSize w:val="1"/>
      <w:tblBorders>
        <w:top w:color="DADADA" w:space="0" w:sz="4" w:themeColor="accent3" w:val="single"/>
        <w:left w:color="DADADA" w:space="0" w:sz="4" w:themeColor="accent3" w:val="single"/>
        <w:bottom w:color="DADADA" w:space="0" w:sz="4" w:themeColor="accent3" w:val="single"/>
        <w:right w:color="DADADA" w:space="0" w:sz="4" w:themeColor="accent3" w:val="single"/>
      </w:tblBorders>
    </w:tblPr>
    <w:tblStylePr w:type="firstRow">
      <w:rPr>
        <w:b/>
        <w:bCs/>
        <w:color w:themeColor="background1" w:val="FFFFFF"/>
      </w:rPr>
      <w:tblPr/>
      <w:tcPr>
        <w:shd w:color="auto" w:fill="DADADA" w:themeFill="accent3" w:val="clear"/>
      </w:tcPr>
    </w:tblStylePr>
    <w:tblStylePr w:type="lastRow">
      <w:rPr>
        <w:b/>
        <w:bCs/>
      </w:rPr>
      <w:tblPr/>
      <w:tcPr>
        <w:tcBorders>
          <w:top w:color="DADADA" w:space="0" w:sz="4" w:themeColor="accent3" w:val="double"/>
        </w:tcBorders>
        <w:shd w:color="auto" w:fill="FFFFFF" w:themeFill="background1" w:val="clear"/>
      </w:tcPr>
    </w:tblStylePr>
    <w:tblStylePr w:type="firstCol">
      <w:rPr>
        <w:b/>
        <w:bCs/>
      </w:rPr>
      <w:tblPr/>
      <w:tcPr>
        <w:tcBorders>
          <w:right w:val="nil"/>
        </w:tcBorders>
        <w:shd w:color="auto" w:fill="FFFFFF" w:themeFill="background1" w:val="clear"/>
      </w:tcPr>
    </w:tblStylePr>
    <w:tblStylePr w:type="lastCol">
      <w:rPr>
        <w:b/>
        <w:bCs/>
      </w:rPr>
      <w:tblPr/>
      <w:tcPr>
        <w:tcBorders>
          <w:left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ADADA" w:space="0" w:sz="4" w:themeColor="accent3" w:val="single"/>
          <w:right w:color="DADADA" w:space="0" w:sz="4" w:themeColor="accent3" w:val="single"/>
        </w:tcBorders>
      </w:tcPr>
    </w:tblStylePr>
    <w:tblStylePr w:type="band1Horz">
      <w:tblPr/>
      <w:tcPr>
        <w:tcBorders>
          <w:top w:color="DADADA" w:space="0" w:sz="4" w:themeColor="accent3" w:val="single"/>
          <w:bottom w:color="DADADA" w:space="0" w:sz="4" w:themeColor="accent3" w:val="singl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color="DADADA" w:space="0" w:sz="4" w:themeColor="accent3" w:val="double"/>
          <w:left w:val="nil"/>
        </w:tcBorders>
      </w:tcPr>
    </w:tblStylePr>
    <w:tblStylePr w:type="swCell">
      <w:tblPr/>
      <w:tcPr>
        <w:tcBorders>
          <w:top w:color="DADADA" w:space="0" w:sz="4" w:themeColor="accent3" w:val="double"/>
          <w:right w:val="nil"/>
        </w:tcBorders>
      </w:tcPr>
    </w:tblStylePr>
  </w:style>
  <w:style w:styleId="GridTable5Dark-Accent2" w:type="table">
    <w:name w:val="Grid Table 5 Dark Accent 2"/>
    <w:basedOn w:val="TableNormal"/>
    <w:uiPriority w:val="50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4DCE1" w:themeFill="accent2" w:themeFillTint="33" w:val="clear"/>
    </w:tcPr>
    <w:tblStylePr w:type="firstRow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3F505A" w:themeFill="accent2" w:val="clear"/>
      </w:tcPr>
    </w:tblStylePr>
    <w:tblStylePr w:type="lastRow">
      <w:rPr>
        <w:b/>
        <w:bCs/>
        <w:color w:themeColor="background1" w:val="FFFFFF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3F505A" w:themeFill="accent2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val="nil"/>
        </w:tcBorders>
        <w:shd w:color="auto" w:fill="3F505A" w:themeFill="accent2" w:val="clear"/>
      </w:tcPr>
    </w:tblStylePr>
    <w:tblStylePr w:type="la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val="nil"/>
        </w:tcBorders>
        <w:shd w:color="auto" w:fill="3F505A" w:themeFill="accent2" w:val="clear"/>
      </w:tcPr>
    </w:tblStylePr>
    <w:tblStylePr w:type="band1Vert">
      <w:tblPr/>
      <w:tcPr>
        <w:shd w:color="auto" w:fill="AABAC4" w:themeFill="accent2" w:themeFillTint="66" w:val="clear"/>
      </w:tcPr>
    </w:tblStylePr>
    <w:tblStylePr w:type="band1Horz">
      <w:tblPr/>
      <w:tcPr>
        <w:shd w:color="auto" w:fill="AABAC4" w:themeFill="accent2" w:themeFillTint="66" w:val="clear"/>
      </w:tcPr>
    </w:tblStylePr>
  </w:style>
  <w:style w:styleId="GridTable5Dark-Accent3" w:type="table">
    <w:name w:val="Grid Table 5 Dark Accent 3"/>
    <w:basedOn w:val="TableNormal"/>
    <w:uiPriority w:val="50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7F7F7" w:themeFill="accent3" w:themeFillTint="33" w:val="clear"/>
    </w:tcPr>
    <w:tblStylePr w:type="firstRow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DADADA" w:themeFill="accent3" w:val="clear"/>
      </w:tcPr>
    </w:tblStylePr>
    <w:tblStylePr w:type="lastRow">
      <w:rPr>
        <w:b/>
        <w:bCs/>
        <w:color w:themeColor="background1" w:val="FFFFFF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DADADA" w:themeFill="accent3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val="nil"/>
        </w:tcBorders>
        <w:shd w:color="auto" w:fill="DADADA" w:themeFill="accent3" w:val="clear"/>
      </w:tcPr>
    </w:tblStylePr>
    <w:tblStylePr w:type="la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val="nil"/>
        </w:tcBorders>
        <w:shd w:color="auto" w:fill="DADADA" w:themeFill="accent3" w:val="clear"/>
      </w:tcPr>
    </w:tblStylePr>
    <w:tblStylePr w:type="band1Vert">
      <w:tblPr/>
      <w:tcPr>
        <w:shd w:color="auto" w:fill="F0F0F0" w:themeFill="accent3" w:themeFillTint="66" w:val="clear"/>
      </w:tcPr>
    </w:tblStylePr>
    <w:tblStylePr w:type="band1Horz">
      <w:tblPr/>
      <w:tcPr>
        <w:shd w:color="auto" w:fill="F0F0F0" w:themeFill="accent3" w:themeFillTint="66" w:val="clear"/>
      </w:tcPr>
    </w:tblStylePr>
  </w:style>
  <w:style w:styleId="ListTable3-Accent2" w:type="table">
    <w:name w:val="List Table 3 Accent 2"/>
    <w:basedOn w:val="TableNormal"/>
    <w:uiPriority w:val="48"/>
    <w:pPr>
      <w:spacing w:after="0"/>
    </w:pPr>
    <w:tblPr>
      <w:tblStyleRowBandSize w:val="1"/>
      <w:tblStyleColBandSize w:val="1"/>
      <w:tblBorders>
        <w:top w:color="3F505A" w:space="0" w:sz="4" w:themeColor="accent2" w:val="single"/>
        <w:left w:color="3F505A" w:space="0" w:sz="4" w:themeColor="accent2" w:val="single"/>
        <w:bottom w:color="3F505A" w:space="0" w:sz="4" w:themeColor="accent2" w:val="single"/>
        <w:right w:color="3F505A" w:space="0" w:sz="4" w:themeColor="accent2" w:val="single"/>
      </w:tblBorders>
    </w:tblPr>
    <w:tblStylePr w:type="firstRow">
      <w:rPr>
        <w:b/>
        <w:bCs/>
        <w:color w:themeColor="background1" w:val="FFFFFF"/>
      </w:rPr>
      <w:tblPr/>
      <w:tcPr>
        <w:shd w:color="auto" w:fill="3F505A" w:themeFill="accent2" w:val="clear"/>
      </w:tcPr>
    </w:tblStylePr>
    <w:tblStylePr w:type="lastRow">
      <w:rPr>
        <w:b/>
        <w:bCs/>
      </w:rPr>
      <w:tblPr/>
      <w:tcPr>
        <w:tcBorders>
          <w:top w:color="3F505A" w:space="0" w:sz="4" w:themeColor="accent2" w:val="double"/>
        </w:tcBorders>
        <w:shd w:color="auto" w:fill="FFFFFF" w:themeFill="background1" w:val="clear"/>
      </w:tcPr>
    </w:tblStylePr>
    <w:tblStylePr w:type="firstCol">
      <w:rPr>
        <w:b/>
        <w:bCs/>
      </w:rPr>
      <w:tblPr/>
      <w:tcPr>
        <w:tcBorders>
          <w:right w:val="nil"/>
        </w:tcBorders>
        <w:shd w:color="auto" w:fill="FFFFFF" w:themeFill="background1" w:val="clear"/>
      </w:tcPr>
    </w:tblStylePr>
    <w:tblStylePr w:type="lastCol">
      <w:rPr>
        <w:b/>
        <w:bCs/>
      </w:rPr>
      <w:tblPr/>
      <w:tcPr>
        <w:tcBorders>
          <w:left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3F505A" w:space="0" w:sz="4" w:themeColor="accent2" w:val="single"/>
          <w:right w:color="3F505A" w:space="0" w:sz="4" w:themeColor="accent2" w:val="single"/>
        </w:tcBorders>
      </w:tcPr>
    </w:tblStylePr>
    <w:tblStylePr w:type="band1Horz">
      <w:tblPr/>
      <w:tcPr>
        <w:tcBorders>
          <w:top w:color="3F505A" w:space="0" w:sz="4" w:themeColor="accent2" w:val="single"/>
          <w:bottom w:color="3F505A" w:space="0" w:sz="4" w:themeColor="accent2" w:val="singl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color="3F505A" w:space="0" w:sz="4" w:themeColor="accent2" w:val="double"/>
          <w:left w:val="nil"/>
        </w:tcBorders>
      </w:tcPr>
    </w:tblStylePr>
    <w:tblStylePr w:type="swCell">
      <w:tblPr/>
      <w:tcPr>
        <w:tcBorders>
          <w:top w:color="3F505A" w:space="0" w:sz="4" w:themeColor="accent2" w:val="double"/>
          <w:right w:val="nil"/>
        </w:tcBorders>
      </w:tcPr>
    </w:tblStylePr>
  </w:style>
  <w:style w:customStyle="1" w:styleId="Heading7Char" w:type="character">
    <w:name w:val="Heading 7 Char"/>
    <w:basedOn w:val="DefaultParagraphFont"/>
    <w:link w:val="Heading7"/>
    <w:uiPriority w:val="9"/>
    <w:semiHidden/>
    <w:rPr>
      <w:rFonts w:asciiTheme="majorHAnsi" w:cstheme="majorBidi" w:eastAsiaTheme="majorEastAsia" w:hAnsiTheme="majorHAnsi"/>
      <w:i/>
      <w:iCs/>
      <w:color w:themeColor="accent1" w:themeShade="7F" w:val="764900"/>
      <w:sz w:val="20"/>
    </w:rPr>
  </w:style>
  <w:style w:customStyle="1" w:styleId="Heading8Char" w:type="character">
    <w:name w:val="Heading 8 Char"/>
    <w:basedOn w:val="DefaultParagraphFont"/>
    <w:link w:val="Heading8"/>
    <w:uiPriority w:val="9"/>
    <w:semiHidden/>
    <w:rPr>
      <w:rFonts w:asciiTheme="majorHAnsi" w:cstheme="majorBidi" w:eastAsiaTheme="majorEastAsia" w:hAnsiTheme="majorHAnsi"/>
      <w:color w:themeColor="text1" w:themeTint="D8" w:val="272727"/>
      <w:sz w:val="21"/>
      <w:szCs w:val="21"/>
    </w:rPr>
  </w:style>
  <w:style w:customStyle="1" w:styleId="Heading9Char" w:type="character">
    <w:name w:val="Heading 9 Char"/>
    <w:basedOn w:val="DefaultParagraphFont"/>
    <w:link w:val="Heading9"/>
    <w:uiPriority w:val="9"/>
    <w:semiHidden/>
    <w:rPr>
      <w:rFonts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styleId="NormalWeb" w:type="paragraph">
    <w:name w:val="Normal (Web)"/>
    <w:basedOn w:val="Normal"/>
    <w:uiPriority w:val="99"/>
    <w:semiHidden/>
    <w:unhideWhenUsed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nb-NO"/>
    </w:rPr>
  </w:style>
  <w:style w:styleId="TableGridLight" w:type="table">
    <w:name w:val="Grid Table Light"/>
    <w:basedOn w:val="TableNormal"/>
    <w:uiPriority w:val="40"/>
    <w:pPr>
      <w:spacing w:after="0"/>
    </w:pPr>
    <w:tblPr>
      <w:tblBorders>
        <w:top w:color="BFBFBF" w:space="0" w:sz="4" w:themeColor="background1" w:themeShade="BF" w:val="single"/>
        <w:left w:color="BFBFBF" w:space="0" w:sz="4" w:themeColor="background1" w:themeShade="BF" w:val="single"/>
        <w:bottom w:color="BFBFBF" w:space="0" w:sz="4" w:themeColor="background1" w:themeShade="BF" w:val="single"/>
        <w:right w:color="BFBFBF" w:space="0" w:sz="4" w:themeColor="background1" w:themeShade="BF" w:val="single"/>
        <w:insideH w:color="BFBFBF" w:space="0" w:sz="4" w:themeColor="background1" w:themeShade="BF" w:val="single"/>
        <w:insideV w:color="BFBFBF" w:space="0" w:sz="4" w:themeColor="background1" w:themeShade="BF" w:val="single"/>
      </w:tblBorders>
    </w:tblPr>
  </w:style>
  <w:style w:styleId="TOCHeading" w:type="paragraph">
    <w:name w:val="TOC Heading"/>
    <w:basedOn w:val="Heading1"/>
    <w:next w:val="Normal"/>
    <w:uiPriority w:val="39"/>
    <w:unhideWhenUsed/>
    <w:qFormat/>
    <w:pPr>
      <w:numPr>
        <w:numId w:val="0"/>
      </w:numPr>
      <w:spacing w:after="0" w:before="240" w:line="259" w:lineRule="auto"/>
      <w:outlineLvl w:val="9"/>
    </w:pPr>
    <w:rPr>
      <w:b w:val="0"/>
      <w:bCs w:val="0"/>
      <w:color w:themeColor="accent1" w:themeShade="BF" w:val="B16D00"/>
      <w:sz w:val="32"/>
      <w:szCs w:val="32"/>
      <w:lang w:eastAsia="nb-NO"/>
    </w:rPr>
  </w:style>
  <w:style w:styleId="TOC1" w:type="paragraph">
    <w:name w:val="toc 1"/>
    <w:basedOn w:val="Normal"/>
    <w:next w:val="Normal"/>
    <w:autoRedefine/>
    <w:uiPriority w:val="39"/>
    <w:unhideWhenUsed/>
    <w:pPr>
      <w:spacing w:after="100"/>
    </w:pPr>
  </w:style>
  <w:style w:styleId="TOC2" w:type="paragraph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styleId="Hyperlink" w:type="character">
    <w:name w:val="Hyperlink"/>
    <w:basedOn w:val="DefaultParagraphFont"/>
    <w:uiPriority w:val="99"/>
    <w:unhideWhenUsed/>
    <w:rPr>
      <w:color w:themeColor="hyperlink" w:val="0000FF"/>
      <w:u w:val="single"/>
    </w:rPr>
  </w:style>
  <w:style w:styleId="Caption" w:type="paragraph">
    <w:name w:val="caption"/>
    <w:basedOn w:val="Normal"/>
    <w:next w:val="Normal"/>
    <w:uiPriority w:val="35"/>
    <w:unhideWhenUsed/>
    <w:qFormat/>
    <w:rPr>
      <w:i/>
      <w:iCs/>
      <w:color w:themeColor="text2" w:val="ED9300"/>
      <w:sz w:val="18"/>
      <w:szCs w:val="18"/>
    </w:rPr>
  </w:style>
  <w:style w:styleId="UnresolvedMention" w:type="character">
    <w:name w:val="Unresolved Mention"/>
    <w:basedOn w:val="DefaultParagraphFont"/>
    <w:uiPriority w:val="99"/>
    <w:semiHidden/>
    <w:unhideWhenUsed/>
    <w:rPr>
      <w:color w:val="605E5C"/>
      <w:shd w:color="auto" w:fill="E1DFDD" w:val="clear"/>
    </w:rPr>
  </w:style>
  <w:style w:styleId="FollowedHyperlink" w:type="character">
    <w:name w:val="FollowedHyperlink"/>
    <w:basedOn w:val="DefaultParagraphFont"/>
    <w:uiPriority w:val="99"/>
    <w:semiHidden/>
    <w:unhideWhenUsed/>
    <w:rPr>
      <w:color w:themeColor="followedHyperlink" w:val="800080"/>
      <w:u w:val="single"/>
    </w:rPr>
  </w:style>
  <w:style w:styleId="DefaultParagraphFontJAVADOCX" w:type="character">
    <w:name w:val="Default Paragraph Font JAVADOCX"/>
    <w:uiPriority w:val="1"/>
    <w:semiHidden/>
    <w:unhideWhenUsed/>
  </w:style>
  <w:style w:styleId="ListParagraphJAVADOCX" w:type="paragraph">
    <w:name w:val="List Paragraph JAVADOCX"/>
    <w:basedOn w:val="Normal"/>
    <w:uiPriority w:val="34"/>
    <w:qFormat/>
    <w:rsid w:val="00DF064E"/>
    <w:pPr>
      <w:ind w:left="720"/>
      <w:contextualSpacing/>
    </w:pPr>
  </w:style>
  <w:style w:styleId="TitleJAVADOCX" w:type="paragraph">
    <w:name w:val="Title JAVADOCX"/>
    <w:basedOn w:val="Normal"/>
    <w:next w:val="Normal"/>
    <w:link w:val="TitleCarJAVADOCX"/>
    <w:uiPriority w:val="10"/>
    <w:qFormat/>
    <w:rsid w:val="00DF064E"/>
    <w:pPr>
      <w:pBdr>
        <w:bottom w:color="4F81BD" w:space="4" w:sz="8" w:themeColor="accent1" w:val="single"/>
      </w:pBdr>
      <w:spacing w:after="300" w:line="240" w:lineRule="auto"/>
      <w:contextualSpacing/>
    </w:pPr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customStyle="1" w:styleId="TitleCarJAVADOCX" w:type="character">
    <w:name w:val="Title Car JAVADOCX"/>
    <w:basedOn w:val="DefaultParagraphFontJAVADOCX"/>
    <w:link w:val="TitleJAVADOCX"/>
    <w:uiPriority w:val="10"/>
    <w:rsid w:val="00DF064E"/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styleId="SubtitleJAVADOCX" w:type="paragraph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customStyle="1" w:styleId="SubtitleCarJAVADOCX" w:type="character">
    <w:name w:val="Subtitle Car JAVADOCX"/>
    <w:basedOn w:val="DefaultParagraphFontJAVADOCX"/>
    <w:link w:val="SubtitleJAVADOCX"/>
    <w:uiPriority w:val="11"/>
    <w:rsid w:val="00DF064E"/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styleId="NormalTableJAVADOCX" w:type="table">
    <w:name w:val="Normal Table JAVADOCX"/>
    <w:uiPriority w:val="99"/>
    <w:semiHidden/>
    <w:unhideWhenUsed/>
    <w:qFormat/>
    <w:pPr>
      <w:spacing w:after="0" w:line="240" w:lineRule="auto"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TableGridJAVADOCX" w:type="table">
    <w:name w:val="Table Grid JAVADOCX"/>
    <w:uiPriority w:val="59"/>
    <w:rsid w:val="00493A0C"/>
    <w:pPr>
      <w:spacing w:after="0" w:line="240" w:lineRule="auto"/>
    </w:p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CommentReferenceJAVADOCX" w:type="character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styleId="CommentTextJAVADOCX" w:type="paragraph">
    <w:name w:val="annotation text JAVADOCX"/>
    <w:basedOn w:val="Normal"/>
    <w:link w:val="CommentTextCharJAVA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customStyle="1" w:styleId="CommentTextCharJAVADOCX" w:type="character">
    <w:name w:val="Comment Text Char JAVADOCX"/>
    <w:basedOn w:val="DefaultParagraphFontJAVADOCX"/>
    <w:link w:val="CommentTextJAVADOCX"/>
    <w:uiPriority w:val="99"/>
    <w:semiHidden/>
    <w:rsid w:val="00E139EA"/>
    <w:rPr>
      <w:sz w:val="20"/>
      <w:szCs w:val="20"/>
    </w:rPr>
  </w:style>
  <w:style w:styleId="CommentSubjectJAVADOCX" w:type="paragraph">
    <w:name w:val="annotation subject JAVADOCX"/>
    <w:basedOn w:val="CommentTextJAVADOCX"/>
    <w:next w:val="CommentTextJAVADOCX"/>
    <w:link w:val="CommentSubjectCharJAVADOCX"/>
    <w:uiPriority w:val="99"/>
    <w:semiHidden/>
    <w:unhideWhenUsed/>
    <w:rsid w:val="00E139EA"/>
    <w:rPr>
      <w:b/>
      <w:bCs/>
    </w:rPr>
  </w:style>
  <w:style w:customStyle="1" w:styleId="CommentSubjectCharJAVADOCX" w:type="character">
    <w:name w:val="Comment Subject Char JAVADOCX"/>
    <w:basedOn w:val="CommentTextCharJAVADOCX"/>
    <w:link w:val="CommentSubjectJAVADOCX"/>
    <w:uiPriority w:val="99"/>
    <w:semiHidden/>
    <w:rsid w:val="00E139EA"/>
    <w:rPr>
      <w:b/>
      <w:bCs/>
      <w:sz w:val="20"/>
      <w:szCs w:val="20"/>
    </w:rPr>
  </w:style>
  <w:style w:styleId="BalloonTextJAVADOCX" w:type="paragraph">
    <w:name w:val="Balloon Text JAVADOCX"/>
    <w:basedOn w:val="Normal"/>
    <w:link w:val="BalloonTextCharJAVADOCX"/>
    <w:uiPriority w:val="99"/>
    <w:semiHidden/>
    <w:unhideWhenUsed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alloonTextCharJAVADOCX" w:type="character">
    <w:name w:val="Balloon Text Char JAVADOCX"/>
    <w:basedOn w:val="DefaultParagraphFontJAVADOCX"/>
    <w:link w:val="BalloonTextJAVADOCX"/>
    <w:uiPriority w:val="99"/>
    <w:semiHidden/>
    <w:rsid w:val="00E139EA"/>
    <w:rPr>
      <w:rFonts w:ascii="Tahoma" w:cs="Tahoma" w:hAnsi="Tahoma"/>
      <w:sz w:val="16"/>
      <w:szCs w:val="16"/>
    </w:rPr>
  </w:style>
  <w:style w:styleId="footnoteTextJAVADOCX" w:type="paragraph">
    <w:name w:val="footnote Text JAVADOCX"/>
    <w:basedOn w:val="Normal"/>
    <w:link w:val="footnoteTextCarJAVA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customStyle="1" w:styleId="footnoteTextCarJAVADOCX" w:type="character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styleId="footnoteReferenceJAVADOCX" w:type="character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styleId="endnoteTextJAVADOCX" w:type="paragraph">
    <w:name w:val="endnote Text JAVADOCX"/>
    <w:basedOn w:val="Normal"/>
    <w:link w:val="endnoteTextCarJAVA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customStyle="1" w:styleId="endnoteTextCarJAVADOCX" w:type="character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styleId="endnoteReferenceJAVADOCX" w:type="character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<Relationships xmlns="http://schemas.openxmlformats.org/package/2006/relationships"><Relationship Id="rId8" Target="media/image1.jpeg" Type="http://schemas.openxmlformats.org/officeDocument/2006/relationships/image"/><Relationship Id="rId13" Target="header2.xml" Type="http://schemas.openxmlformats.org/officeDocument/2006/relationships/header"/><Relationship Id="rId18" Target="fontTable.xml" Type="http://schemas.openxmlformats.org/officeDocument/2006/relationships/fontTable"/><Relationship Id="rId3" Target="styles.xml" Type="http://schemas.openxmlformats.org/officeDocument/2006/relationships/styles"/><Relationship Id="rId7" Target="endnotes.xml" Type="http://schemas.openxmlformats.org/officeDocument/2006/relationships/endnotes"/><Relationship Id="rId12" Target="header1.xml" Type="http://schemas.openxmlformats.org/officeDocument/2006/relationships/header"/><Relationship Id="rId17" Target="footer3.xml" Type="http://schemas.openxmlformats.org/officeDocument/2006/relationships/footer"/><Relationship Id="rId2" Target="numbering.xml" Type="http://schemas.openxmlformats.org/officeDocument/2006/relationships/numbering"/><Relationship Id="rId16" Target="header3.xml" Type="http://schemas.openxmlformats.org/officeDocument/2006/relationships/head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3.gif" Type="http://schemas.openxmlformats.org/officeDocument/2006/relationships/image"/><Relationship Id="rId5" Target="webSettings.xml" Type="http://schemas.openxmlformats.org/officeDocument/2006/relationships/webSettings"/><Relationship Id="rId15" Target="footer2.xml" Type="http://schemas.openxmlformats.org/officeDocument/2006/relationships/footer"/><Relationship Id="rId10" Target="embeddings/oleObject1.bin" Type="http://schemas.openxmlformats.org/officeDocument/2006/relationships/oleObject"/><Relationship Id="rId19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footer1.xml" Type="http://schemas.openxmlformats.org/officeDocument/2006/relationships/footer"/><Relationship Id="rId48706569" Target="comments.xml" Type="http://schemas.openxmlformats.org/officeDocument/2006/relationships/comments"/><Relationship Id="rId2990491" Target="commentsExtended.xml" Type="http://schemas.openxmlformats.org/officeDocument/2006/relationships/commentsExtended"/><Relationship Id="rIdjavadocx_1e472094-430e-43e8-9b2d-00242e157c28" Target="media/imgjavadocx_1e472094-430e-43e8-9b2d-00242e157c28.png" Type="http://schemas.openxmlformats.org/officeDocument/2006/relationships/image"/><Relationship Id="rIdjavadocx_c52114c2-118c-47b2-9b5f-81f5fb453046" Target="media/imgjavadocx_c52114c2-118c-47b2-9b5f-81f5fb453046.png" Type="http://schemas.openxmlformats.org/officeDocument/2006/relationships/image"/><Relationship Id="rIdjavadocx_b38c87b7-fa70-49a4-943e-212072f11d1d" Target="media/imgjavadocx_b38c87b7-fa70-49a4-943e-212072f11d1d.png" Type="http://schemas.openxmlformats.org/officeDocument/2006/relationships/image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rogramData\Felles%20maler\Office\Maler\Notat.dotx" TargetMode="External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39951-4F69-4B50-A80F-BA3471326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Notat.dotx</Template>
  <TotalTime>206</TotalTime>
  <Pages>10</Pages>
  <Words>1212</Words>
  <Characters>6427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Statens vegvesen</Company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Børnes Vilhelm</dc:creator>
  <cp:keywords/>
  <dc:description/>
  <cp:lastModifiedBy>Ola Martin Rennemo</cp:lastModifiedBy>
  <cp:revision>16</cp:revision>
  <dcterms:created xsi:type="dcterms:W3CDTF">2020-02-20T09:15:00Z</dcterms:created>
  <dcterms:modified xsi:type="dcterms:W3CDTF">2020-03-18T21:24:00Z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e37f87-bb34-4c36-b4d0-c38c85b01b16_Enabled">
    <vt:lpwstr>True</vt:lpwstr>
  </property>
  <property fmtid="{D5CDD505-2E9C-101B-9397-08002B2CF9AE}" pid="3" name="MSIP_Label_6ce37f87-bb34-4c36-b4d0-c38c85b01b16_SiteId">
    <vt:lpwstr>38856954-ed55-49f7-8bdd-738ffbbfd390</vt:lpwstr>
  </property>
  <property fmtid="{D5CDD505-2E9C-101B-9397-08002B2CF9AE}" pid="4" name="MSIP_Label_6ce37f87-bb34-4c36-b4d0-c38c85b01b16_Owner">
    <vt:lpwstr>anibje@vegvesen.no</vt:lpwstr>
  </property>
  <property fmtid="{D5CDD505-2E9C-101B-9397-08002B2CF9AE}" pid="5" name="MSIP_Label_6ce37f87-bb34-4c36-b4d0-c38c85b01b16_SetDate">
    <vt:lpwstr>2019-05-09T10:38:14.9224965Z</vt:lpwstr>
  </property>
  <property fmtid="{D5CDD505-2E9C-101B-9397-08002B2CF9AE}" pid="6" name="MSIP_Label_6ce37f87-bb34-4c36-b4d0-c38c85b01b16_Name">
    <vt:lpwstr>General</vt:lpwstr>
  </property>
  <property fmtid="{D5CDD505-2E9C-101B-9397-08002B2CF9AE}" pid="7" name="MSIP_Label_6ce37f87-bb34-4c36-b4d0-c38c85b01b16_Application">
    <vt:lpwstr>Microsoft Azure Information Protection</vt:lpwstr>
  </property>
  <property fmtid="{D5CDD505-2E9C-101B-9397-08002B2CF9AE}" pid="8" name="MSIP_Label_6ce37f87-bb34-4c36-b4d0-c38c85b01b16_Extended_MSFT_Method">
    <vt:lpwstr>Manual</vt:lpwstr>
  </property>
  <property fmtid="{D5CDD505-2E9C-101B-9397-08002B2CF9AE}" pid="9" name="Sensitivity">
    <vt:lpwstr>General</vt:lpwstr>
  </property>
</Properties>
</file>